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9471B">
            <w:pPr>
              <w:jc w:val="right"/>
            </w:pPr>
            <w:r w:rsidRPr="00EE2A77">
              <w:rPr>
                <w:sz w:val="40"/>
              </w:rPr>
              <w:t>A</w:t>
            </w:r>
            <w:r>
              <w:t>/HRC/1</w:t>
            </w:r>
            <w:r w:rsidR="00E9471B">
              <w:t>8</w:t>
            </w:r>
            <w:r>
              <w:t>/L</w:t>
            </w:r>
            <w:r w:rsidR="00B53362">
              <w:t>.</w:t>
            </w:r>
            <w:r w:rsidR="003A7D72">
              <w:t>22</w:t>
            </w:r>
          </w:p>
        </w:tc>
      </w:tr>
      <w:tr w:rsidR="003107FA">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46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D553CE" w:rsidP="00EE2A77">
            <w:pPr>
              <w:spacing w:line="240" w:lineRule="exact"/>
            </w:pPr>
            <w:r>
              <w:t>2</w:t>
            </w:r>
            <w:r w:rsidR="00D64052">
              <w:t>6</w:t>
            </w:r>
            <w:r>
              <w:t xml:space="preserve"> </w:t>
            </w:r>
            <w:r w:rsidR="00E9471B">
              <w:t xml:space="preserve">September </w:t>
            </w:r>
            <w:r w:rsidR="00E051D8">
              <w:t>2011</w:t>
            </w:r>
          </w:p>
          <w:p w:rsidR="00EE2A77" w:rsidRDefault="00EE2A77"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E9471B" w:rsidP="00EE2A77">
      <w:pPr>
        <w:rPr>
          <w:b/>
        </w:rPr>
      </w:pPr>
      <w:r>
        <w:rPr>
          <w:b/>
        </w:rPr>
        <w:t>Eight</w:t>
      </w:r>
      <w:r w:rsidR="00E051D8">
        <w:rPr>
          <w:b/>
        </w:rPr>
        <w:t>eenth</w:t>
      </w:r>
      <w:r w:rsidR="00EE2A77">
        <w:rPr>
          <w:b/>
        </w:rPr>
        <w:t xml:space="preserve"> 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4039FE">
        <w:rPr>
          <w:b/>
        </w:rPr>
        <w:t>,</w:t>
      </w:r>
      <w:r>
        <w:rPr>
          <w:b/>
        </w:rPr>
        <w:br/>
      </w:r>
      <w:r w:rsidRPr="00533C25">
        <w:rPr>
          <w:b/>
        </w:rPr>
        <w:t>political, economic,</w:t>
      </w:r>
      <w:r>
        <w:rPr>
          <w:b/>
        </w:rPr>
        <w:t xml:space="preserve"> </w:t>
      </w:r>
      <w:r w:rsidRPr="00533C25">
        <w:rPr>
          <w:b/>
        </w:rPr>
        <w:t>social and cultural rights,</w:t>
      </w:r>
      <w:r>
        <w:rPr>
          <w:b/>
        </w:rPr>
        <w:br/>
      </w:r>
      <w:r w:rsidRPr="00533C25">
        <w:rPr>
          <w:b/>
        </w:rPr>
        <w:t>including the right to development</w:t>
      </w:r>
    </w:p>
    <w:p w:rsidR="002F006E" w:rsidRDefault="002F006E" w:rsidP="004F28B3">
      <w:pPr>
        <w:pStyle w:val="H23G"/>
      </w:pPr>
      <w:r>
        <w:tab/>
      </w:r>
      <w:r>
        <w:tab/>
      </w:r>
      <w:r w:rsidR="00742811">
        <w:t>Albania</w:t>
      </w:r>
      <w:r w:rsidR="00742811" w:rsidRPr="004F28B3">
        <w:rPr>
          <w:b w:val="0"/>
          <w:bCs/>
          <w:vertAlign w:val="superscript"/>
        </w:rPr>
        <w:t>*</w:t>
      </w:r>
      <w:r w:rsidR="00742811">
        <w:t xml:space="preserve">, </w:t>
      </w:r>
      <w:r w:rsidR="001C631C">
        <w:t>Argentina</w:t>
      </w:r>
      <w:r w:rsidR="001C631C" w:rsidRPr="004F28B3">
        <w:rPr>
          <w:rStyle w:val="FootnoteReference"/>
          <w:b w:val="0"/>
          <w:bCs/>
          <w:sz w:val="20"/>
        </w:rPr>
        <w:footnoteReference w:customMarkFollows="1" w:id="2"/>
        <w:t>*</w:t>
      </w:r>
      <w:r w:rsidR="001C631C">
        <w:t xml:space="preserve">, </w:t>
      </w:r>
      <w:r w:rsidR="00742811">
        <w:t>Australia</w:t>
      </w:r>
      <w:r w:rsidR="00742811" w:rsidRPr="004F28B3">
        <w:rPr>
          <w:b w:val="0"/>
          <w:bCs/>
          <w:vertAlign w:val="superscript"/>
        </w:rPr>
        <w:t>*</w:t>
      </w:r>
      <w:r w:rsidR="00742811">
        <w:t xml:space="preserve">, </w:t>
      </w:r>
      <w:r w:rsidR="001C631C">
        <w:t xml:space="preserve">Austria, Belgium, </w:t>
      </w:r>
      <w:r w:rsidR="00742811">
        <w:t>Bolivia</w:t>
      </w:r>
      <w:r w:rsidR="005A425B">
        <w:t xml:space="preserve"> (Plurinational State of)</w:t>
      </w:r>
      <w:r w:rsidR="00742811" w:rsidRPr="004F28B3">
        <w:rPr>
          <w:b w:val="0"/>
          <w:bCs/>
          <w:vertAlign w:val="superscript"/>
        </w:rPr>
        <w:t>*</w:t>
      </w:r>
      <w:r w:rsidR="00742811">
        <w:t xml:space="preserve">, </w:t>
      </w:r>
      <w:r w:rsidR="001C631C">
        <w:t>Bosnia</w:t>
      </w:r>
      <w:r w:rsidR="004039FE">
        <w:t xml:space="preserve"> and </w:t>
      </w:r>
      <w:r w:rsidR="001C631C">
        <w:t>Herzegovina</w:t>
      </w:r>
      <w:r w:rsidR="001C631C" w:rsidRPr="004F28B3">
        <w:rPr>
          <w:b w:val="0"/>
          <w:bCs/>
          <w:vertAlign w:val="superscript"/>
        </w:rPr>
        <w:t>*</w:t>
      </w:r>
      <w:r w:rsidR="001C631C">
        <w:t xml:space="preserve">, </w:t>
      </w:r>
      <w:r w:rsidR="000E28AD">
        <w:t>Bulgaria</w:t>
      </w:r>
      <w:r w:rsidR="000E28AD" w:rsidRPr="004F28B3">
        <w:rPr>
          <w:b w:val="0"/>
          <w:bCs/>
          <w:vertAlign w:val="superscript"/>
        </w:rPr>
        <w:t>*</w:t>
      </w:r>
      <w:r w:rsidR="000E28AD">
        <w:t xml:space="preserve">, </w:t>
      </w:r>
      <w:r w:rsidR="00742811">
        <w:t>Canada</w:t>
      </w:r>
      <w:r w:rsidR="00742811" w:rsidRPr="004F28B3">
        <w:rPr>
          <w:b w:val="0"/>
          <w:bCs/>
          <w:vertAlign w:val="superscript"/>
        </w:rPr>
        <w:t>*</w:t>
      </w:r>
      <w:r w:rsidR="00742811">
        <w:t xml:space="preserve">, Chile, </w:t>
      </w:r>
      <w:r w:rsidR="004039FE">
        <w:t xml:space="preserve">Costa Rica, </w:t>
      </w:r>
      <w:r w:rsidR="001C631C">
        <w:t>Côte d’Ivoire</w:t>
      </w:r>
      <w:r w:rsidR="001C631C" w:rsidRPr="004F28B3">
        <w:rPr>
          <w:b w:val="0"/>
          <w:bCs/>
          <w:vertAlign w:val="superscript"/>
        </w:rPr>
        <w:t>*</w:t>
      </w:r>
      <w:r w:rsidR="001C631C">
        <w:t xml:space="preserve">, </w:t>
      </w:r>
      <w:r w:rsidR="000E28AD">
        <w:t>Croatia</w:t>
      </w:r>
      <w:r w:rsidR="000E28AD" w:rsidRPr="004F28B3">
        <w:rPr>
          <w:b w:val="0"/>
          <w:bCs/>
          <w:vertAlign w:val="superscript"/>
        </w:rPr>
        <w:t>*</w:t>
      </w:r>
      <w:r w:rsidR="000E28AD">
        <w:t xml:space="preserve">, </w:t>
      </w:r>
      <w:r w:rsidR="001C631C">
        <w:t xml:space="preserve">Czech Republic, </w:t>
      </w:r>
      <w:r w:rsidR="00742811">
        <w:t>Democratic Republic of the Congo</w:t>
      </w:r>
      <w:r w:rsidR="00742811" w:rsidRPr="004F28B3">
        <w:rPr>
          <w:b w:val="0"/>
          <w:bCs/>
          <w:vertAlign w:val="superscript"/>
        </w:rPr>
        <w:t>*</w:t>
      </w:r>
      <w:r w:rsidR="00742811">
        <w:t xml:space="preserve">, </w:t>
      </w:r>
      <w:r w:rsidR="001C631C">
        <w:t>Denmark</w:t>
      </w:r>
      <w:r w:rsidR="001C631C" w:rsidRPr="004F28B3">
        <w:rPr>
          <w:b w:val="0"/>
          <w:bCs/>
          <w:vertAlign w:val="superscript"/>
        </w:rPr>
        <w:t>*</w:t>
      </w:r>
      <w:r w:rsidR="001C631C">
        <w:t xml:space="preserve">, </w:t>
      </w:r>
      <w:r w:rsidR="00742811">
        <w:t>Djibouti, Ecuador, Finland</w:t>
      </w:r>
      <w:r w:rsidR="00742811" w:rsidRPr="004F28B3">
        <w:rPr>
          <w:b w:val="0"/>
          <w:bCs/>
          <w:vertAlign w:val="superscript"/>
        </w:rPr>
        <w:t>*</w:t>
      </w:r>
      <w:r w:rsidR="00742811">
        <w:t xml:space="preserve">, </w:t>
      </w:r>
      <w:r w:rsidR="001C631C">
        <w:t>France</w:t>
      </w:r>
      <w:r w:rsidR="001C631C" w:rsidRPr="004F28B3">
        <w:rPr>
          <w:b w:val="0"/>
          <w:bCs/>
          <w:vertAlign w:val="superscript"/>
        </w:rPr>
        <w:t>*</w:t>
      </w:r>
      <w:r w:rsidR="001C631C">
        <w:t>, Georgia</w:t>
      </w:r>
      <w:r w:rsidR="001C631C" w:rsidRPr="004F28B3">
        <w:rPr>
          <w:b w:val="0"/>
          <w:bCs/>
          <w:vertAlign w:val="superscript"/>
        </w:rPr>
        <w:t>*</w:t>
      </w:r>
      <w:r w:rsidR="001C631C">
        <w:t xml:space="preserve">, </w:t>
      </w:r>
      <w:r w:rsidR="00742811">
        <w:t>Germany</w:t>
      </w:r>
      <w:r w:rsidR="00742811" w:rsidRPr="004F28B3">
        <w:rPr>
          <w:b w:val="0"/>
          <w:bCs/>
          <w:vertAlign w:val="superscript"/>
        </w:rPr>
        <w:t>*</w:t>
      </w:r>
      <w:r w:rsidR="00742811">
        <w:t>, Greece</w:t>
      </w:r>
      <w:r w:rsidR="00742811" w:rsidRPr="004F28B3">
        <w:rPr>
          <w:b w:val="0"/>
          <w:bCs/>
          <w:vertAlign w:val="superscript"/>
        </w:rPr>
        <w:t>*</w:t>
      </w:r>
      <w:r w:rsidR="00742811">
        <w:t xml:space="preserve">, </w:t>
      </w:r>
      <w:r w:rsidR="000E28AD">
        <w:t xml:space="preserve">Guatemala, </w:t>
      </w:r>
      <w:r w:rsidR="00742811">
        <w:t>Honduras</w:t>
      </w:r>
      <w:r w:rsidR="00742811" w:rsidRPr="004F28B3">
        <w:rPr>
          <w:b w:val="0"/>
          <w:bCs/>
          <w:vertAlign w:val="superscript"/>
        </w:rPr>
        <w:t>*</w:t>
      </w:r>
      <w:r w:rsidR="00742811">
        <w:t xml:space="preserve">, </w:t>
      </w:r>
      <w:r w:rsidR="001C631C">
        <w:t xml:space="preserve">Hungary, </w:t>
      </w:r>
      <w:r w:rsidR="00742811">
        <w:t>Iceland</w:t>
      </w:r>
      <w:r w:rsidR="00742811" w:rsidRPr="004F28B3">
        <w:rPr>
          <w:b w:val="0"/>
          <w:bCs/>
          <w:vertAlign w:val="superscript"/>
        </w:rPr>
        <w:t>*</w:t>
      </w:r>
      <w:r w:rsidR="00742811">
        <w:t xml:space="preserve">, </w:t>
      </w:r>
      <w:r w:rsidR="001C631C">
        <w:t>Ireland</w:t>
      </w:r>
      <w:r w:rsidR="001C631C" w:rsidRPr="004F28B3">
        <w:rPr>
          <w:b w:val="0"/>
          <w:bCs/>
          <w:vertAlign w:val="superscript"/>
        </w:rPr>
        <w:t>*</w:t>
      </w:r>
      <w:r w:rsidR="001C631C">
        <w:t xml:space="preserve">, </w:t>
      </w:r>
      <w:r w:rsidR="00742811">
        <w:t xml:space="preserve">Italy, </w:t>
      </w:r>
      <w:r w:rsidR="001C631C">
        <w:t>Latvia</w:t>
      </w:r>
      <w:r w:rsidR="001C631C" w:rsidRPr="004F28B3">
        <w:rPr>
          <w:b w:val="0"/>
          <w:bCs/>
          <w:vertAlign w:val="superscript"/>
        </w:rPr>
        <w:t>*</w:t>
      </w:r>
      <w:r w:rsidR="001C631C">
        <w:t>, Liechtenstein</w:t>
      </w:r>
      <w:r w:rsidR="001C631C" w:rsidRPr="004F28B3">
        <w:rPr>
          <w:b w:val="0"/>
          <w:bCs/>
          <w:vertAlign w:val="superscript"/>
        </w:rPr>
        <w:t>*</w:t>
      </w:r>
      <w:r w:rsidR="001C631C" w:rsidRPr="004F28B3">
        <w:rPr>
          <w:b w:val="0"/>
          <w:bCs/>
        </w:rPr>
        <w:t>,</w:t>
      </w:r>
      <w:r w:rsidR="001C631C">
        <w:t xml:space="preserve"> </w:t>
      </w:r>
      <w:r w:rsidR="000E28AD">
        <w:t>Lithuania</w:t>
      </w:r>
      <w:r w:rsidR="000E28AD" w:rsidRPr="004F28B3">
        <w:rPr>
          <w:b w:val="0"/>
          <w:bCs/>
          <w:vertAlign w:val="superscript"/>
        </w:rPr>
        <w:t>*</w:t>
      </w:r>
      <w:r w:rsidR="000E28AD">
        <w:t xml:space="preserve">, </w:t>
      </w:r>
      <w:r w:rsidR="001C631C">
        <w:t>Maldives, Mauritania, Mexico, Morocco</w:t>
      </w:r>
      <w:r w:rsidR="001C631C" w:rsidRPr="004F28B3">
        <w:rPr>
          <w:b w:val="0"/>
          <w:bCs/>
          <w:vertAlign w:val="superscript"/>
        </w:rPr>
        <w:t>*</w:t>
      </w:r>
      <w:r w:rsidR="001C631C">
        <w:t xml:space="preserve">, </w:t>
      </w:r>
      <w:r w:rsidR="00742811">
        <w:t xml:space="preserve">Nigeria, </w:t>
      </w:r>
      <w:r w:rsidR="001C631C">
        <w:t xml:space="preserve">Norway, </w:t>
      </w:r>
      <w:r w:rsidR="00742811">
        <w:t>Palestine</w:t>
      </w:r>
      <w:r w:rsidR="00742811" w:rsidRPr="004F28B3">
        <w:rPr>
          <w:b w:val="0"/>
          <w:bCs/>
          <w:vertAlign w:val="superscript"/>
        </w:rPr>
        <w:t>*</w:t>
      </w:r>
      <w:r w:rsidR="00742811">
        <w:t>, Paraguay</w:t>
      </w:r>
      <w:r w:rsidR="00742811" w:rsidRPr="004F28B3">
        <w:rPr>
          <w:b w:val="0"/>
          <w:bCs/>
          <w:vertAlign w:val="superscript"/>
        </w:rPr>
        <w:t>*</w:t>
      </w:r>
      <w:r w:rsidR="00742811">
        <w:t xml:space="preserve">, </w:t>
      </w:r>
      <w:r w:rsidR="001C631C">
        <w:t xml:space="preserve">Peru, Poland, </w:t>
      </w:r>
      <w:r w:rsidR="000E28AD">
        <w:t>Portugal</w:t>
      </w:r>
      <w:r w:rsidR="000E28AD" w:rsidRPr="004F28B3">
        <w:rPr>
          <w:b w:val="0"/>
          <w:bCs/>
          <w:vertAlign w:val="superscript"/>
        </w:rPr>
        <w:t>*</w:t>
      </w:r>
      <w:r w:rsidR="000E28AD">
        <w:t xml:space="preserve">, </w:t>
      </w:r>
      <w:r w:rsidR="00742811">
        <w:t xml:space="preserve">Republic of Moldova, </w:t>
      </w:r>
      <w:r w:rsidR="001C631C">
        <w:t xml:space="preserve">Senegal, </w:t>
      </w:r>
      <w:r w:rsidR="00742811">
        <w:t>Serbia</w:t>
      </w:r>
      <w:r w:rsidR="00742811" w:rsidRPr="004F28B3">
        <w:rPr>
          <w:b w:val="0"/>
          <w:bCs/>
          <w:vertAlign w:val="superscript"/>
        </w:rPr>
        <w:t>*</w:t>
      </w:r>
      <w:r w:rsidR="00742811">
        <w:t xml:space="preserve">, </w:t>
      </w:r>
      <w:r w:rsidR="001C631C">
        <w:t>Slovenia</w:t>
      </w:r>
      <w:r w:rsidR="001C631C" w:rsidRPr="004F28B3">
        <w:rPr>
          <w:b w:val="0"/>
          <w:bCs/>
          <w:vertAlign w:val="superscript"/>
        </w:rPr>
        <w:t>*</w:t>
      </w:r>
      <w:r w:rsidR="001C631C">
        <w:t xml:space="preserve">, </w:t>
      </w:r>
      <w:r w:rsidR="000E28AD">
        <w:t xml:space="preserve">Spain, </w:t>
      </w:r>
      <w:r w:rsidR="00742811">
        <w:t>Sweden</w:t>
      </w:r>
      <w:r w:rsidR="00742811" w:rsidRPr="004F28B3">
        <w:rPr>
          <w:b w:val="0"/>
          <w:bCs/>
          <w:vertAlign w:val="superscript"/>
        </w:rPr>
        <w:t>*</w:t>
      </w:r>
      <w:r w:rsidR="00742811">
        <w:t xml:space="preserve">, </w:t>
      </w:r>
      <w:r w:rsidR="001C631C">
        <w:t xml:space="preserve">Switzerland, Thailand, </w:t>
      </w:r>
      <w:r w:rsidR="00742811">
        <w:t>Tunisia</w:t>
      </w:r>
      <w:r w:rsidR="00742811" w:rsidRPr="004F28B3">
        <w:rPr>
          <w:b w:val="0"/>
          <w:bCs/>
          <w:vertAlign w:val="superscript"/>
        </w:rPr>
        <w:t>*</w:t>
      </w:r>
      <w:r w:rsidR="00742811">
        <w:t xml:space="preserve">, </w:t>
      </w:r>
      <w:r w:rsidR="000E28AD">
        <w:t>Ukraine</w:t>
      </w:r>
      <w:r w:rsidR="000E28AD" w:rsidRPr="004F28B3">
        <w:rPr>
          <w:b w:val="0"/>
          <w:bCs/>
          <w:vertAlign w:val="superscript"/>
        </w:rPr>
        <w:t>*</w:t>
      </w:r>
      <w:r w:rsidR="000E28AD">
        <w:t xml:space="preserve">, </w:t>
      </w:r>
      <w:r w:rsidR="001C631C">
        <w:t>United Kingdom of Great Britain and Northern Ireland</w:t>
      </w:r>
      <w:r w:rsidR="001C631C" w:rsidRPr="004F28B3">
        <w:rPr>
          <w:b w:val="0"/>
          <w:bCs/>
          <w:vertAlign w:val="superscript"/>
        </w:rPr>
        <w:t>*</w:t>
      </w:r>
      <w:r w:rsidR="001C631C">
        <w:t xml:space="preserve">, </w:t>
      </w:r>
      <w:r w:rsidR="00742811">
        <w:t xml:space="preserve">Uruguay, </w:t>
      </w:r>
      <w:smartTag w:uri="urn:schemas-microsoft-com:office:smarttags" w:element="country-region">
        <w:r w:rsidR="000E28AD">
          <w:t>Venezuela</w:t>
        </w:r>
      </w:smartTag>
      <w:r w:rsidR="005A425B">
        <w:t xml:space="preserve"> (</w:t>
      </w:r>
      <w:smartTag w:uri="urn:schemas-microsoft-com:office:smarttags" w:element="place">
        <w:smartTag w:uri="urn:schemas-microsoft-com:office:smarttags" w:element="PlaceName">
          <w:r w:rsidR="005A425B">
            <w:t>Bolivarian</w:t>
          </w:r>
        </w:smartTag>
        <w:r w:rsidR="005A425B">
          <w:t xml:space="preserve"> </w:t>
        </w:r>
        <w:smartTag w:uri="urn:schemas-microsoft-com:office:smarttags" w:element="PlaceType">
          <w:r w:rsidR="005A425B">
            <w:t>Republic</w:t>
          </w:r>
        </w:smartTag>
      </w:smartTag>
      <w:r w:rsidR="005A425B">
        <w:t xml:space="preserve"> of)</w:t>
      </w:r>
      <w:r w:rsidR="000E28AD" w:rsidRPr="004F28B3">
        <w:rPr>
          <w:b w:val="0"/>
          <w:bCs/>
          <w:vertAlign w:val="superscript"/>
        </w:rPr>
        <w:t>*</w:t>
      </w:r>
      <w:r>
        <w:t>: draft resolution</w:t>
      </w:r>
    </w:p>
    <w:p w:rsidR="002F006E" w:rsidRDefault="002F006E" w:rsidP="004F28B3">
      <w:pPr>
        <w:pStyle w:val="H1G"/>
        <w:tabs>
          <w:tab w:val="left" w:pos="1900"/>
        </w:tabs>
      </w:pPr>
      <w:r>
        <w:tab/>
      </w:r>
      <w:r>
        <w:tab/>
      </w:r>
      <w:r w:rsidRPr="007A45D3">
        <w:t>1</w:t>
      </w:r>
      <w:r w:rsidR="00E9471B">
        <w:t>8</w:t>
      </w:r>
      <w:r w:rsidRPr="007A45D3">
        <w:t>/…</w:t>
      </w:r>
      <w:r w:rsidR="004F28B3">
        <w:tab/>
      </w:r>
      <w:r w:rsidR="003A7D72">
        <w:t xml:space="preserve">Special Rapporteur on the promotion of </w:t>
      </w:r>
      <w:r w:rsidR="006253BE">
        <w:t>t</w:t>
      </w:r>
      <w:r w:rsidR="003A7D72">
        <w:t xml:space="preserve">ruth, </w:t>
      </w:r>
      <w:r w:rsidR="006253BE">
        <w:t>j</w:t>
      </w:r>
      <w:r w:rsidR="003A7D72">
        <w:t xml:space="preserve">ustice, </w:t>
      </w:r>
      <w:r w:rsidR="004F28B3">
        <w:br/>
      </w:r>
      <w:r w:rsidR="004F28B3">
        <w:tab/>
      </w:r>
      <w:r w:rsidR="006253BE">
        <w:t>r</w:t>
      </w:r>
      <w:r w:rsidR="003A7D72">
        <w:t xml:space="preserve">eparation and </w:t>
      </w:r>
      <w:r w:rsidR="006253BE">
        <w:t>g</w:t>
      </w:r>
      <w:r w:rsidR="003A7D72">
        <w:t xml:space="preserve">uarantees of </w:t>
      </w:r>
      <w:r w:rsidR="006253BE">
        <w:t>n</w:t>
      </w:r>
      <w:r w:rsidR="003A7D72">
        <w:t>on-</w:t>
      </w:r>
      <w:r w:rsidR="006253BE">
        <w:t>r</w:t>
      </w:r>
      <w:r w:rsidR="003A7D72">
        <w:t>ecurrence</w:t>
      </w:r>
    </w:p>
    <w:p w:rsidR="003A7D72" w:rsidRDefault="004F28B3" w:rsidP="004F28B3">
      <w:pPr>
        <w:pStyle w:val="SingleTxtG"/>
      </w:pPr>
      <w:r>
        <w:rPr>
          <w:i/>
        </w:rPr>
        <w:tab/>
      </w:r>
      <w:r w:rsidR="003A7D72" w:rsidRPr="003A7D72">
        <w:rPr>
          <w:i/>
        </w:rPr>
        <w:t>The Human Rights Council</w:t>
      </w:r>
      <w:r w:rsidR="003A7D72">
        <w:t>,</w:t>
      </w:r>
    </w:p>
    <w:p w:rsidR="0027058A" w:rsidRDefault="004F28B3" w:rsidP="004F28B3">
      <w:pPr>
        <w:pStyle w:val="SingleTxtG"/>
        <w:rPr>
          <w:rFonts w:eastAsia="SimSun"/>
        </w:rPr>
      </w:pPr>
      <w:r>
        <w:rPr>
          <w:rFonts w:eastAsia="SimSun"/>
          <w:i/>
        </w:rPr>
        <w:tab/>
      </w:r>
      <w:r w:rsidR="0027058A" w:rsidRPr="00B1610C">
        <w:rPr>
          <w:rFonts w:eastAsia="SimSun"/>
          <w:i/>
        </w:rPr>
        <w:t>Guided</w:t>
      </w:r>
      <w:r w:rsidR="0027058A" w:rsidRPr="00710E42">
        <w:rPr>
          <w:rFonts w:eastAsia="SimSun"/>
        </w:rPr>
        <w:t xml:space="preserve"> by the Charter of the United Nations, the Universal Declaration of Human Rights, the International Covenant on Economic, Social and Cultural Right</w:t>
      </w:r>
      <w:r w:rsidR="0027058A">
        <w:rPr>
          <w:rFonts w:eastAsia="SimSun"/>
        </w:rPr>
        <w:t xml:space="preserve">s, the International Covenant on Civil and Political Rights, the Geneva Conventions of 12 August 1949 and the Additional Protocols thereto of 8 June 1977, other relevant international human rights law and international humanitarian law instruments and the Vienna Declaration and Programme of Action, </w:t>
      </w:r>
    </w:p>
    <w:p w:rsidR="0027058A" w:rsidRDefault="004F28B3" w:rsidP="004F28B3">
      <w:pPr>
        <w:pStyle w:val="SingleTxtG"/>
        <w:rPr>
          <w:rFonts w:eastAsia="SimSun"/>
        </w:rPr>
      </w:pPr>
      <w:r>
        <w:rPr>
          <w:rFonts w:eastAsia="SimSun"/>
          <w:i/>
        </w:rPr>
        <w:tab/>
      </w:r>
      <w:r w:rsidR="0027058A" w:rsidRPr="00B1610C">
        <w:rPr>
          <w:rFonts w:eastAsia="SimSun"/>
          <w:i/>
        </w:rPr>
        <w:t>Recalling</w:t>
      </w:r>
      <w:r w:rsidR="0027058A" w:rsidRPr="0027058A">
        <w:rPr>
          <w:rFonts w:eastAsia="SimSun"/>
        </w:rPr>
        <w:t xml:space="preserve"> </w:t>
      </w:r>
      <w:r w:rsidR="0027058A">
        <w:rPr>
          <w:rFonts w:eastAsia="SimSun"/>
        </w:rPr>
        <w:t>the set of principles for the protection and promotion of human rights through action to combat impunity</w:t>
      </w:r>
      <w:r w:rsidR="006253BE">
        <w:rPr>
          <w:rFonts w:eastAsia="SimSun"/>
        </w:rPr>
        <w:t>,</w:t>
      </w:r>
      <w:r w:rsidR="006253BE">
        <w:rPr>
          <w:rStyle w:val="FootnoteReference"/>
          <w:rFonts w:eastAsia="SimSun"/>
        </w:rPr>
        <w:footnoteReference w:id="3"/>
      </w:r>
      <w:r w:rsidR="0027058A">
        <w:rPr>
          <w:rFonts w:eastAsia="SimSun"/>
        </w:rPr>
        <w:t xml:space="preserve"> </w:t>
      </w:r>
      <w:r w:rsidR="0027058A" w:rsidRPr="00441E4A">
        <w:rPr>
          <w:rFonts w:eastAsia="SimSun"/>
        </w:rPr>
        <w:t>and the updated version of those principles</w:t>
      </w:r>
      <w:r w:rsidR="0027058A">
        <w:rPr>
          <w:rFonts w:eastAsia="SimSun"/>
        </w:rPr>
        <w:t>,</w:t>
      </w:r>
      <w:r w:rsidR="006253BE">
        <w:rPr>
          <w:rStyle w:val="FootnoteReference"/>
          <w:rFonts w:eastAsia="SimSun"/>
        </w:rPr>
        <w:footnoteReference w:id="4"/>
      </w:r>
      <w:r w:rsidR="0027058A">
        <w:rPr>
          <w:rFonts w:eastAsia="SimSun"/>
        </w:rPr>
        <w:t xml:space="preserve"> </w:t>
      </w:r>
    </w:p>
    <w:p w:rsidR="0027058A" w:rsidRDefault="004F28B3" w:rsidP="004F28B3">
      <w:pPr>
        <w:pStyle w:val="SingleTxtG"/>
        <w:rPr>
          <w:rFonts w:eastAsia="SimSun"/>
        </w:rPr>
      </w:pPr>
      <w:r>
        <w:rPr>
          <w:rFonts w:eastAsia="SimSun"/>
          <w:i/>
        </w:rPr>
        <w:tab/>
      </w:r>
      <w:r w:rsidR="0027058A" w:rsidRPr="00B1610C">
        <w:rPr>
          <w:rFonts w:eastAsia="SimSun"/>
          <w:i/>
        </w:rPr>
        <w:t>Recalling</w:t>
      </w:r>
      <w:r w:rsidR="0027058A" w:rsidRPr="0027058A">
        <w:rPr>
          <w:rFonts w:eastAsia="SimSun"/>
        </w:rPr>
        <w:t xml:space="preserve"> </w:t>
      </w:r>
      <w:r w:rsidR="006253BE">
        <w:rPr>
          <w:rFonts w:eastAsia="SimSun"/>
          <w:i/>
        </w:rPr>
        <w:t xml:space="preserve">also </w:t>
      </w:r>
      <w:r w:rsidR="0027058A">
        <w:rPr>
          <w:rFonts w:eastAsia="SimSun"/>
        </w:rPr>
        <w:t xml:space="preserve">General Assembly resolution 60/147 of 16 December 2005 on the Basic Principles and Guidelines on the Right to a Remedy and Reparation for Victims of Gross Violations of International Human Rights Law and Serious Violations of International Humanitarian Law, </w:t>
      </w:r>
    </w:p>
    <w:p w:rsidR="0027058A" w:rsidRPr="0027058A" w:rsidRDefault="004F28B3" w:rsidP="004F28B3">
      <w:pPr>
        <w:pStyle w:val="SingleTxtG"/>
        <w:rPr>
          <w:rFonts w:eastAsia="SimSun"/>
        </w:rPr>
      </w:pPr>
      <w:r>
        <w:rPr>
          <w:i/>
        </w:rPr>
        <w:tab/>
      </w:r>
      <w:r w:rsidR="0027058A" w:rsidRPr="00B1610C">
        <w:rPr>
          <w:i/>
        </w:rPr>
        <w:t>Recalling</w:t>
      </w:r>
      <w:r w:rsidR="0027058A">
        <w:t xml:space="preserve"> </w:t>
      </w:r>
      <w:r w:rsidR="004E5D58">
        <w:rPr>
          <w:i/>
        </w:rPr>
        <w:t xml:space="preserve">further </w:t>
      </w:r>
      <w:r w:rsidR="0027058A">
        <w:t xml:space="preserve">Commission on Human Rights resolutions </w:t>
      </w:r>
      <w:r w:rsidR="004E5D58">
        <w:t>2005/70 of 20 April 2005</w:t>
      </w:r>
      <w:r w:rsidR="008A4AE6">
        <w:t>,</w:t>
      </w:r>
      <w:r w:rsidR="004E5D58">
        <w:t xml:space="preserve"> </w:t>
      </w:r>
      <w:r w:rsidR="0027058A">
        <w:t xml:space="preserve">on human rights and transitional justice, </w:t>
      </w:r>
      <w:r w:rsidR="004E5D58">
        <w:t>2005/81 of 21 April 2005</w:t>
      </w:r>
      <w:r w:rsidR="008A4AE6">
        <w:t>,</w:t>
      </w:r>
      <w:r w:rsidR="004E5D58">
        <w:t xml:space="preserve"> on </w:t>
      </w:r>
      <w:r w:rsidR="0027058A">
        <w:t>impunity</w:t>
      </w:r>
      <w:r w:rsidR="004E5D58">
        <w:t>,</w:t>
      </w:r>
      <w:r w:rsidR="0027058A">
        <w:t xml:space="preserve"> and </w:t>
      </w:r>
      <w:r w:rsidR="004E5D58">
        <w:lastRenderedPageBreak/>
        <w:t>2005/66 of 20 April 2005</w:t>
      </w:r>
      <w:r w:rsidR="008A4AE6">
        <w:t>,</w:t>
      </w:r>
      <w:r w:rsidR="004E5D58">
        <w:t xml:space="preserve"> on </w:t>
      </w:r>
      <w:r w:rsidR="0027058A">
        <w:t>the right to the truth, as well as Human Rights Council resolutions 12/11 of 1 October 2009</w:t>
      </w:r>
      <w:r w:rsidR="008A4AE6">
        <w:t>,</w:t>
      </w:r>
      <w:r w:rsidR="0027058A">
        <w:t xml:space="preserve"> on human rights and transitional justice, 9/11 of 18 September 2008 and 12/12 of 1 October 2009</w:t>
      </w:r>
      <w:r w:rsidR="008A4AE6">
        <w:t>,</w:t>
      </w:r>
      <w:r w:rsidR="0027058A">
        <w:t xml:space="preserve"> on the right to the truth,</w:t>
      </w:r>
      <w:r w:rsidR="0027058A" w:rsidRPr="0027058A">
        <w:t xml:space="preserve"> </w:t>
      </w:r>
      <w:r w:rsidR="00D64052">
        <w:t xml:space="preserve">and </w:t>
      </w:r>
      <w:r w:rsidR="0027058A" w:rsidRPr="0027058A">
        <w:t xml:space="preserve">10/26 of 27 March 2009 and 15/5 of </w:t>
      </w:r>
      <w:r w:rsidR="00917F24">
        <w:t xml:space="preserve">29 </w:t>
      </w:r>
      <w:r w:rsidR="0027058A" w:rsidRPr="0027058A">
        <w:t>September 2010</w:t>
      </w:r>
      <w:r w:rsidR="008A4AE6">
        <w:t>,</w:t>
      </w:r>
      <w:r w:rsidR="0027058A" w:rsidRPr="0027058A">
        <w:t xml:space="preserve"> on forensic genetics and human rights</w:t>
      </w:r>
      <w:r w:rsidR="0027058A">
        <w:rPr>
          <w:rFonts w:eastAsia="SimSun"/>
        </w:rPr>
        <w:t>, as well as Council decision</w:t>
      </w:r>
      <w:r w:rsidR="00917F24">
        <w:rPr>
          <w:rFonts w:eastAsia="SimSun"/>
        </w:rPr>
        <w:t>s</w:t>
      </w:r>
      <w:r w:rsidR="0027058A">
        <w:rPr>
          <w:rFonts w:eastAsia="SimSun"/>
        </w:rPr>
        <w:t xml:space="preserve"> 2/105 of 27 November 2006</w:t>
      </w:r>
      <w:r w:rsidR="008A4AE6">
        <w:rPr>
          <w:rFonts w:eastAsia="SimSun"/>
        </w:rPr>
        <w:t>,</w:t>
      </w:r>
      <w:r w:rsidR="0027058A">
        <w:rPr>
          <w:rFonts w:eastAsia="SimSun"/>
        </w:rPr>
        <w:t xml:space="preserve"> on the right to the truth and 4/102 of 23 March 2007</w:t>
      </w:r>
      <w:r w:rsidR="008A4AE6">
        <w:rPr>
          <w:rFonts w:eastAsia="SimSun"/>
        </w:rPr>
        <w:t>,</w:t>
      </w:r>
      <w:r w:rsidR="0027058A">
        <w:rPr>
          <w:rFonts w:eastAsia="SimSun"/>
        </w:rPr>
        <w:t xml:space="preserve"> on transitional justice, </w:t>
      </w:r>
    </w:p>
    <w:p w:rsidR="0027058A" w:rsidRPr="0027058A" w:rsidRDefault="004F28B3" w:rsidP="004F28B3">
      <w:pPr>
        <w:pStyle w:val="SingleTxtG"/>
      </w:pPr>
      <w:r>
        <w:rPr>
          <w:i/>
        </w:rPr>
        <w:tab/>
      </w:r>
      <w:r w:rsidR="0027058A" w:rsidRPr="00B1610C">
        <w:rPr>
          <w:i/>
        </w:rPr>
        <w:t xml:space="preserve">Recalling </w:t>
      </w:r>
      <w:r w:rsidR="0027058A">
        <w:t xml:space="preserve">the International Convention for the Protection of All Persons from Enforced Disappearance, </w:t>
      </w:r>
      <w:r w:rsidR="0027058A" w:rsidRPr="00917F24">
        <w:t>adopted by the General Assembly in its resolution 61/177</w:t>
      </w:r>
      <w:r w:rsidR="00917F24">
        <w:t xml:space="preserve"> of 20 December 2006</w:t>
      </w:r>
      <w:r w:rsidR="0027058A">
        <w:t>, in which article 24</w:t>
      </w:r>
      <w:r w:rsidR="00917F24">
        <w:t xml:space="preserve">, paragraph </w:t>
      </w:r>
      <w:r w:rsidR="0027058A">
        <w:t>2</w:t>
      </w:r>
      <w:r w:rsidR="00917F24">
        <w:t>,</w:t>
      </w:r>
      <w:r w:rsidR="0027058A">
        <w:t xml:space="preserve"> sets out the right of victims to know the truth regarding the circumstances of the enforced disappearance, the progress and results of the investigation and the fate of the disappeared person, and sets forth State party obligations to take appropriate measures in this regard, and the preamble reaffirms the right to freedom to seek, receive and impart information to that end, </w:t>
      </w:r>
    </w:p>
    <w:p w:rsidR="0027058A" w:rsidRDefault="004F28B3" w:rsidP="004F28B3">
      <w:pPr>
        <w:pStyle w:val="SingleTxtG"/>
      </w:pPr>
      <w:r>
        <w:rPr>
          <w:i/>
        </w:rPr>
        <w:tab/>
      </w:r>
      <w:r w:rsidR="0027058A" w:rsidRPr="00B1610C">
        <w:rPr>
          <w:i/>
        </w:rPr>
        <w:t>Recalling also</w:t>
      </w:r>
      <w:r w:rsidR="0027058A" w:rsidRPr="0027058A">
        <w:t xml:space="preserve"> </w:t>
      </w:r>
      <w:r w:rsidR="0027058A">
        <w:t>the report of the Secretary-General on the rule of law and transitional justice in conflict and post-conflict societies,</w:t>
      </w:r>
      <w:r w:rsidR="00CF7F52">
        <w:rPr>
          <w:rStyle w:val="FootnoteReference"/>
        </w:rPr>
        <w:footnoteReference w:id="5"/>
      </w:r>
      <w:r w:rsidR="0027058A">
        <w:t xml:space="preserve"> including the relevant recommendations contained therein, and the report of the Secretary-General entitled “Uniting our strengths: </w:t>
      </w:r>
      <w:r w:rsidR="008A4AE6">
        <w:t>e</w:t>
      </w:r>
      <w:r w:rsidR="0027058A">
        <w:t>nhancing United Nations support for the rule of law”,</w:t>
      </w:r>
      <w:r w:rsidR="00CF7F52">
        <w:rPr>
          <w:rStyle w:val="FootnoteReference"/>
        </w:rPr>
        <w:footnoteReference w:id="6"/>
      </w:r>
      <w:r w:rsidR="0027058A">
        <w:t xml:space="preserve"> </w:t>
      </w:r>
    </w:p>
    <w:p w:rsidR="0027058A" w:rsidRDefault="004F28B3" w:rsidP="004F28B3">
      <w:pPr>
        <w:pStyle w:val="SingleTxtG"/>
      </w:pPr>
      <w:r>
        <w:rPr>
          <w:i/>
        </w:rPr>
        <w:tab/>
      </w:r>
      <w:r w:rsidR="0027058A" w:rsidRPr="00B1610C">
        <w:rPr>
          <w:i/>
        </w:rPr>
        <w:t>Noting with appreciation</w:t>
      </w:r>
      <w:r w:rsidR="0027058A" w:rsidRPr="0027058A">
        <w:t xml:space="preserve"> </w:t>
      </w:r>
      <w:r w:rsidR="0027058A" w:rsidRPr="006C4605">
        <w:t xml:space="preserve">the active engagement </w:t>
      </w:r>
      <w:r w:rsidR="0027058A" w:rsidRPr="00710E42">
        <w:t xml:space="preserve">of the United Nations, including the Office of the United Nations High Commissioner for Human Rights, in assisting States to address gross human rights </w:t>
      </w:r>
      <w:r w:rsidR="0027058A" w:rsidRPr="006C4605">
        <w:t>violations and serious violations of international humanitarian law</w:t>
      </w:r>
      <w:r w:rsidR="00CF7F52">
        <w:t>,</w:t>
      </w:r>
      <w:r w:rsidR="0027058A" w:rsidRPr="006C4605">
        <w:t xml:space="preserve"> </w:t>
      </w:r>
      <w:r w:rsidR="0027058A" w:rsidRPr="00441E4A">
        <w:t>in cooperation with and at the request of States</w:t>
      </w:r>
      <w:r w:rsidR="0027058A" w:rsidRPr="00710E42">
        <w:t>,</w:t>
      </w:r>
    </w:p>
    <w:p w:rsidR="0027058A" w:rsidRPr="00710E42" w:rsidRDefault="004F28B3" w:rsidP="004F28B3">
      <w:pPr>
        <w:pStyle w:val="SingleTxtG"/>
      </w:pPr>
      <w:r>
        <w:rPr>
          <w:i/>
        </w:rPr>
        <w:tab/>
      </w:r>
      <w:r w:rsidR="0027058A" w:rsidRPr="00B1610C">
        <w:rPr>
          <w:i/>
        </w:rPr>
        <w:t>Recalling</w:t>
      </w:r>
      <w:r w:rsidR="0027058A" w:rsidRPr="0027058A">
        <w:t xml:space="preserve"> </w:t>
      </w:r>
      <w:r w:rsidR="0027058A">
        <w:t>its resolutions 5/1</w:t>
      </w:r>
      <w:r w:rsidR="008F2331">
        <w:t>,</w:t>
      </w:r>
      <w:r w:rsidR="0027058A">
        <w:t xml:space="preserve"> on institution-building of the Human Rights Council</w:t>
      </w:r>
      <w:r w:rsidR="008F2331">
        <w:t>,</w:t>
      </w:r>
      <w:r w:rsidR="0027058A">
        <w:t xml:space="preserve"> and 5/2</w:t>
      </w:r>
      <w:r w:rsidR="008F2331">
        <w:t>,</w:t>
      </w:r>
      <w:r w:rsidR="0027058A">
        <w:t xml:space="preserve"> on the </w:t>
      </w:r>
      <w:r w:rsidR="008F2331">
        <w:t>c</w:t>
      </w:r>
      <w:r w:rsidR="0027058A">
        <w:t xml:space="preserve">ode of </w:t>
      </w:r>
      <w:r w:rsidR="008F2331">
        <w:t>c</w:t>
      </w:r>
      <w:r w:rsidR="0027058A">
        <w:t xml:space="preserve">onduct for </w:t>
      </w:r>
      <w:r w:rsidR="008F2331">
        <w:t>s</w:t>
      </w:r>
      <w:r w:rsidR="0027058A">
        <w:t xml:space="preserve">pecial </w:t>
      </w:r>
      <w:r w:rsidR="008F2331">
        <w:t>p</w:t>
      </w:r>
      <w:r w:rsidR="0027058A">
        <w:t xml:space="preserve">rocedures </w:t>
      </w:r>
      <w:r w:rsidR="008F2331">
        <w:t>m</w:t>
      </w:r>
      <w:r w:rsidR="0027058A">
        <w:t>andate</w:t>
      </w:r>
      <w:r w:rsidR="008F2331">
        <w:t xml:space="preserve"> </w:t>
      </w:r>
      <w:r w:rsidR="0027058A">
        <w:t>holders of the Council, of 18 June 2007, and stressing that the mandate</w:t>
      </w:r>
      <w:r w:rsidR="008F2331">
        <w:t xml:space="preserve"> </w:t>
      </w:r>
      <w:r w:rsidR="0027058A">
        <w:t>holder shall discharge his</w:t>
      </w:r>
      <w:r w:rsidR="008F2331">
        <w:t xml:space="preserve"> or </w:t>
      </w:r>
      <w:r w:rsidR="0027058A">
        <w:t>her duties in accordance with those resolutions and the annexes thereto,</w:t>
      </w:r>
    </w:p>
    <w:p w:rsidR="0027058A" w:rsidRPr="00755411" w:rsidRDefault="004F28B3" w:rsidP="004F28B3">
      <w:pPr>
        <w:pStyle w:val="SingleTxtG"/>
      </w:pPr>
      <w:r>
        <w:rPr>
          <w:i/>
        </w:rPr>
        <w:tab/>
      </w:r>
      <w:r w:rsidR="0027058A" w:rsidRPr="00B1610C">
        <w:rPr>
          <w:i/>
        </w:rPr>
        <w:t xml:space="preserve">Recalling </w:t>
      </w:r>
      <w:r w:rsidR="00D64052">
        <w:rPr>
          <w:i/>
        </w:rPr>
        <w:t xml:space="preserve">also </w:t>
      </w:r>
      <w:r w:rsidR="0027058A" w:rsidRPr="00755411">
        <w:t xml:space="preserve">General Assembly </w:t>
      </w:r>
      <w:r w:rsidR="00CF7F52">
        <w:t>r</w:t>
      </w:r>
      <w:r w:rsidR="0027058A" w:rsidRPr="00755411">
        <w:t xml:space="preserve">esolution 60/251 of </w:t>
      </w:r>
      <w:r w:rsidR="008F2331">
        <w:t>15</w:t>
      </w:r>
      <w:r w:rsidR="0027058A" w:rsidRPr="00755411">
        <w:t xml:space="preserve"> </w:t>
      </w:r>
      <w:r w:rsidR="008F2331">
        <w:t>March</w:t>
      </w:r>
      <w:r w:rsidR="008F2331" w:rsidRPr="00755411">
        <w:t xml:space="preserve"> </w:t>
      </w:r>
      <w:r w:rsidR="0027058A" w:rsidRPr="00755411">
        <w:t>2006,</w:t>
      </w:r>
    </w:p>
    <w:p w:rsidR="0027058A" w:rsidRPr="00755411" w:rsidRDefault="004F28B3" w:rsidP="004F28B3">
      <w:pPr>
        <w:pStyle w:val="SingleTxtG"/>
      </w:pPr>
      <w:r>
        <w:rPr>
          <w:i/>
        </w:rPr>
        <w:tab/>
      </w:r>
      <w:r w:rsidR="0027058A" w:rsidRPr="00B1610C">
        <w:rPr>
          <w:i/>
        </w:rPr>
        <w:t>Recogni</w:t>
      </w:r>
      <w:r w:rsidR="008F2331">
        <w:rPr>
          <w:i/>
        </w:rPr>
        <w:t>z</w:t>
      </w:r>
      <w:r w:rsidR="0027058A" w:rsidRPr="00B1610C">
        <w:rPr>
          <w:i/>
        </w:rPr>
        <w:t>ing</w:t>
      </w:r>
      <w:r w:rsidR="0027058A" w:rsidRPr="0027058A">
        <w:t xml:space="preserve"> </w:t>
      </w:r>
      <w:r w:rsidR="0027058A" w:rsidRPr="00755411">
        <w:t xml:space="preserve">that the </w:t>
      </w:r>
      <w:r w:rsidR="00D64052">
        <w:t>s</w:t>
      </w:r>
      <w:r w:rsidR="0027058A" w:rsidRPr="00755411">
        <w:t xml:space="preserve">pecial </w:t>
      </w:r>
      <w:r w:rsidR="00D64052">
        <w:t>p</w:t>
      </w:r>
      <w:r w:rsidR="0027058A" w:rsidRPr="00755411">
        <w:t xml:space="preserve">rocedure on the promotion of </w:t>
      </w:r>
      <w:r w:rsidR="008F2331">
        <w:t>t</w:t>
      </w:r>
      <w:r w:rsidR="0027058A" w:rsidRPr="00755411">
        <w:t xml:space="preserve">ruth, </w:t>
      </w:r>
      <w:r w:rsidR="008F2331">
        <w:t>j</w:t>
      </w:r>
      <w:r w:rsidR="0027058A" w:rsidRPr="00755411">
        <w:t xml:space="preserve">ustice, </w:t>
      </w:r>
      <w:r w:rsidR="008F2331">
        <w:t>r</w:t>
      </w:r>
      <w:r w:rsidR="0027058A" w:rsidRPr="00755411">
        <w:t xml:space="preserve">eparations and </w:t>
      </w:r>
      <w:r w:rsidR="008F2331">
        <w:t>g</w:t>
      </w:r>
      <w:r w:rsidR="0027058A" w:rsidRPr="00755411">
        <w:t xml:space="preserve">uarantees of </w:t>
      </w:r>
      <w:r w:rsidR="008F2331">
        <w:t>n</w:t>
      </w:r>
      <w:r w:rsidR="0027058A" w:rsidRPr="00755411">
        <w:t>on-</w:t>
      </w:r>
      <w:r w:rsidR="008F2331">
        <w:t>r</w:t>
      </w:r>
      <w:r w:rsidR="0027058A" w:rsidRPr="00755411">
        <w:t>ecurrence will deal with situations in which there have been gross v</w:t>
      </w:r>
      <w:r w:rsidR="0027058A">
        <w:t>iolations of human rights and</w:t>
      </w:r>
      <w:r w:rsidR="0027058A" w:rsidRPr="00755411">
        <w:t xml:space="preserve"> serious violations of international humanitarian law</w:t>
      </w:r>
      <w:r w:rsidR="0027058A">
        <w:t>,</w:t>
      </w:r>
    </w:p>
    <w:p w:rsidR="0027058A" w:rsidRPr="0027058A" w:rsidRDefault="004F28B3" w:rsidP="004F28B3">
      <w:pPr>
        <w:pStyle w:val="SingleTxtG"/>
      </w:pPr>
      <w:r>
        <w:rPr>
          <w:i/>
        </w:rPr>
        <w:tab/>
      </w:r>
      <w:r w:rsidR="0027058A" w:rsidRPr="00B1610C">
        <w:rPr>
          <w:i/>
        </w:rPr>
        <w:t>Underlining</w:t>
      </w:r>
      <w:r w:rsidR="0027058A" w:rsidRPr="0027058A">
        <w:t xml:space="preserve"> the fact that, when designing </w:t>
      </w:r>
      <w:r w:rsidR="0027058A">
        <w:t xml:space="preserve">and implementing strategies, policies and measures to address gross human rights violations and serious violations of international humanitarian law, </w:t>
      </w:r>
      <w:r w:rsidR="0027058A" w:rsidRPr="0027058A">
        <w:t>the specific context of each situation must be taken into account with a view to preventing the recurrence of crises</w:t>
      </w:r>
      <w:r w:rsidR="008F2331">
        <w:t xml:space="preserve"> and</w:t>
      </w:r>
      <w:r w:rsidR="0027058A" w:rsidRPr="0027058A">
        <w:t xml:space="preserve"> future violations of human rights, </w:t>
      </w:r>
      <w:r w:rsidR="0027058A" w:rsidRPr="00D64052">
        <w:t>to ensure</w:t>
      </w:r>
      <w:r w:rsidR="0027058A" w:rsidRPr="0027058A">
        <w:t xml:space="preserve"> social cohesion, nation-building, ownership and inclusiveness at the national and local levels and to promote reconciliation, </w:t>
      </w:r>
    </w:p>
    <w:p w:rsidR="0027058A" w:rsidRPr="0027058A" w:rsidRDefault="004F28B3" w:rsidP="004F28B3">
      <w:pPr>
        <w:pStyle w:val="SingleTxtG"/>
      </w:pPr>
      <w:r>
        <w:rPr>
          <w:i/>
        </w:rPr>
        <w:tab/>
      </w:r>
      <w:r w:rsidR="0027058A" w:rsidRPr="00F50178">
        <w:rPr>
          <w:i/>
        </w:rPr>
        <w:t>Emphasiz</w:t>
      </w:r>
      <w:r w:rsidR="008A4AE6">
        <w:rPr>
          <w:i/>
        </w:rPr>
        <w:t>ing</w:t>
      </w:r>
      <w:r w:rsidR="0027058A" w:rsidRPr="0027058A">
        <w:t xml:space="preserve"> the importance of a comprehensive approach incorporating the full range of judicial and non-judicial measures, including, among others, individual prosecutions, reparations, truth-seeking, institutional reform, vetting of public employees and officials, or an appropriately conceived combination thereof, in order to, inter alia, ensure accountability, serve justice, provide remedies to victims, promote healing and reconciliation, establish independent oversight of the security system and restore confidence in the institutions of the State and promote the rule of law in accordance with international human rights law</w:t>
      </w:r>
      <w:r w:rsidR="0027058A" w:rsidRPr="00F50178">
        <w:t>;</w:t>
      </w:r>
      <w:r w:rsidR="0027058A" w:rsidRPr="0027058A">
        <w:t xml:space="preserve"> </w:t>
      </w:r>
    </w:p>
    <w:p w:rsidR="0027058A" w:rsidRDefault="004F28B3" w:rsidP="004F28B3">
      <w:pPr>
        <w:pStyle w:val="SingleTxtG"/>
      </w:pPr>
      <w:r>
        <w:tab/>
      </w:r>
      <w:r w:rsidR="0027058A" w:rsidRPr="00D33827">
        <w:t>1.</w:t>
      </w:r>
      <w:r w:rsidR="00B1610C">
        <w:tab/>
      </w:r>
      <w:r w:rsidR="0027058A" w:rsidRPr="00B1610C">
        <w:rPr>
          <w:i/>
        </w:rPr>
        <w:t>Decides</w:t>
      </w:r>
      <w:r w:rsidR="0027058A" w:rsidRPr="00D33827">
        <w:t xml:space="preserve"> to appoint, for a period of three years, a </w:t>
      </w:r>
      <w:r w:rsidR="008F2331">
        <w:t>s</w:t>
      </w:r>
      <w:r w:rsidR="0027058A" w:rsidRPr="00D33827">
        <w:t xml:space="preserve">pecial </w:t>
      </w:r>
      <w:r w:rsidR="008F2331">
        <w:t>r</w:t>
      </w:r>
      <w:r w:rsidR="0027058A" w:rsidRPr="00D33827">
        <w:t>apporteur on the promotion of truth, justice, reparation and guarantees of non-recurrence</w:t>
      </w:r>
      <w:r w:rsidR="008A4AE6">
        <w:t>,</w:t>
      </w:r>
      <w:r w:rsidR="0027058A" w:rsidRPr="00D33827">
        <w:t xml:space="preserve"> whose tasks will include:</w:t>
      </w:r>
    </w:p>
    <w:p w:rsidR="0027058A" w:rsidRPr="00D33827" w:rsidRDefault="004F28B3" w:rsidP="004F28B3">
      <w:pPr>
        <w:pStyle w:val="SingleTxtG"/>
      </w:pPr>
      <w:r>
        <w:lastRenderedPageBreak/>
        <w:tab/>
      </w:r>
      <w:r w:rsidR="008F2331">
        <w:t>(</w:t>
      </w:r>
      <w:r w:rsidR="00B1610C" w:rsidRPr="008F2331">
        <w:rPr>
          <w:i/>
        </w:rPr>
        <w:t>a</w:t>
      </w:r>
      <w:r w:rsidR="00B1610C">
        <w:t>)</w:t>
      </w:r>
      <w:r w:rsidR="00B1610C">
        <w:tab/>
      </w:r>
      <w:r w:rsidR="0027058A" w:rsidRPr="00D33827">
        <w:t xml:space="preserve">To contribute, upon request, to the provision of technical assistance or advisory services on the issues pertaining to the mandate; </w:t>
      </w:r>
    </w:p>
    <w:p w:rsidR="0027058A" w:rsidRPr="00D33827" w:rsidRDefault="004F28B3" w:rsidP="004F28B3">
      <w:pPr>
        <w:pStyle w:val="SingleTxtG"/>
        <w:rPr>
          <w:rFonts w:eastAsia="SimSun"/>
        </w:rPr>
      </w:pPr>
      <w:r>
        <w:tab/>
      </w:r>
      <w:r w:rsidR="008F2331">
        <w:t>(</w:t>
      </w:r>
      <w:r w:rsidR="00B1610C" w:rsidRPr="008F2331">
        <w:rPr>
          <w:i/>
        </w:rPr>
        <w:t>b</w:t>
      </w:r>
      <w:r w:rsidR="00B1610C">
        <w:t>)</w:t>
      </w:r>
      <w:r w:rsidR="00B1610C">
        <w:tab/>
      </w:r>
      <w:r w:rsidR="0027058A" w:rsidRPr="00D33827">
        <w:t xml:space="preserve">To gather relevant information on national situations, including on the normative framework, on national practices and experiences, such as </w:t>
      </w:r>
      <w:r w:rsidR="0027058A" w:rsidRPr="0027058A">
        <w:t>truth and reconciliation commissions and other mechanisms</w:t>
      </w:r>
      <w:r w:rsidR="0027058A" w:rsidRPr="00D33827">
        <w:t xml:space="preserve">, relating to the promotion of truth, justice, reparation and guarantees of non-recurrence in addressing gross violations of human rights and serious violations of international humanitarian </w:t>
      </w:r>
      <w:r w:rsidR="0027058A" w:rsidRPr="00145FC6">
        <w:t xml:space="preserve">law, </w:t>
      </w:r>
      <w:r w:rsidR="008A4AE6">
        <w:t xml:space="preserve">and </w:t>
      </w:r>
      <w:r w:rsidR="0027058A" w:rsidRPr="00145FC6">
        <w:t>to</w:t>
      </w:r>
      <w:r w:rsidR="0027058A" w:rsidRPr="00D33827">
        <w:t xml:space="preserve"> study trends, developments and challenges and </w:t>
      </w:r>
      <w:r w:rsidR="008A4AE6">
        <w:t xml:space="preserve">to </w:t>
      </w:r>
      <w:r w:rsidR="0027058A" w:rsidRPr="00D33827">
        <w:t xml:space="preserve">make recommendations </w:t>
      </w:r>
      <w:r w:rsidR="008A4AE6">
        <w:t>thereon</w:t>
      </w:r>
      <w:r w:rsidR="0027058A" w:rsidRPr="00D33827">
        <w:t>;</w:t>
      </w:r>
    </w:p>
    <w:p w:rsidR="0027058A" w:rsidRPr="00D33827" w:rsidRDefault="004F28B3" w:rsidP="004F28B3">
      <w:pPr>
        <w:pStyle w:val="SingleTxtG"/>
        <w:rPr>
          <w:rFonts w:eastAsia="SimSun"/>
        </w:rPr>
      </w:pPr>
      <w:r>
        <w:tab/>
      </w:r>
      <w:r w:rsidR="008F2331">
        <w:t>(</w:t>
      </w:r>
      <w:r w:rsidR="00B1610C" w:rsidRPr="008F2331">
        <w:rPr>
          <w:i/>
        </w:rPr>
        <w:t>c</w:t>
      </w:r>
      <w:r w:rsidR="00B1610C">
        <w:t>)</w:t>
      </w:r>
      <w:r w:rsidR="00B1610C">
        <w:tab/>
      </w:r>
      <w:r w:rsidR="0027058A" w:rsidRPr="00D33827">
        <w:t xml:space="preserve">To identify, exchange and promote good practices and lessons learned as well as to identify </w:t>
      </w:r>
      <w:r w:rsidR="0027058A" w:rsidRPr="0028439F">
        <w:t>potential additional</w:t>
      </w:r>
      <w:r w:rsidR="0027058A" w:rsidRPr="00D33827">
        <w:t xml:space="preserve"> elements with a view to recommend ways and means to improve and strengthen the promotion of truth, justice, reparation and guarantees of non-recurrence; </w:t>
      </w:r>
    </w:p>
    <w:p w:rsidR="0027058A" w:rsidRPr="00D33827" w:rsidRDefault="004F28B3" w:rsidP="004F28B3">
      <w:pPr>
        <w:pStyle w:val="SingleTxtG"/>
      </w:pPr>
      <w:r>
        <w:tab/>
      </w:r>
      <w:r w:rsidR="008F2331">
        <w:t>(</w:t>
      </w:r>
      <w:r w:rsidR="00B1610C" w:rsidRPr="008F2331">
        <w:rPr>
          <w:i/>
        </w:rPr>
        <w:t>d</w:t>
      </w:r>
      <w:r w:rsidR="00B1610C">
        <w:t>)</w:t>
      </w:r>
      <w:r w:rsidR="00B1610C">
        <w:tab/>
      </w:r>
      <w:r w:rsidR="0027058A" w:rsidRPr="00D33827">
        <w:t>To develop a regula</w:t>
      </w:r>
      <w:r w:rsidR="0027058A">
        <w:t xml:space="preserve">r dialogue and cooperate with, </w:t>
      </w:r>
      <w:r w:rsidR="0027058A" w:rsidRPr="00D33827">
        <w:t>inter alia, Governments, international and regional organizations, national human rights institutions</w:t>
      </w:r>
      <w:r w:rsidR="00145FC6">
        <w:t xml:space="preserve"> and</w:t>
      </w:r>
      <w:r w:rsidR="0027058A" w:rsidRPr="00D33827">
        <w:t xml:space="preserve"> non-governmental organizations, as well as relevant United Nations bodies and mechanisms; </w:t>
      </w:r>
    </w:p>
    <w:p w:rsidR="0027058A" w:rsidRPr="00D33827" w:rsidRDefault="004F28B3" w:rsidP="004F28B3">
      <w:pPr>
        <w:pStyle w:val="SingleTxtG"/>
      </w:pPr>
      <w:r>
        <w:tab/>
      </w:r>
      <w:r w:rsidR="008F2331">
        <w:t>(</w:t>
      </w:r>
      <w:r w:rsidR="00B1610C" w:rsidRPr="008F2331">
        <w:rPr>
          <w:i/>
        </w:rPr>
        <w:t>e</w:t>
      </w:r>
      <w:r w:rsidR="00B1610C">
        <w:t>)</w:t>
      </w:r>
      <w:r w:rsidR="00B1610C">
        <w:tab/>
      </w:r>
      <w:r w:rsidR="0027058A" w:rsidRPr="00D33827">
        <w:t xml:space="preserve">To make recommendations concerning, inter alia, judicial and non-judicial measures when designing and implementing strategies, policies and measures for addressing gross violations of human rights and serious violations of international humanitarian law; </w:t>
      </w:r>
    </w:p>
    <w:p w:rsidR="0027058A" w:rsidRPr="00D33827" w:rsidRDefault="004F28B3" w:rsidP="004F28B3">
      <w:pPr>
        <w:pStyle w:val="SingleTxtG"/>
      </w:pPr>
      <w:r>
        <w:tab/>
      </w:r>
      <w:r w:rsidR="008F2331">
        <w:t>(</w:t>
      </w:r>
      <w:r w:rsidR="00B1610C" w:rsidRPr="008F2331">
        <w:rPr>
          <w:i/>
        </w:rPr>
        <w:t>f</w:t>
      </w:r>
      <w:r w:rsidR="00B1610C">
        <w:t>)</w:t>
      </w:r>
      <w:r w:rsidR="00B1610C">
        <w:tab/>
      </w:r>
      <w:r w:rsidR="0027058A" w:rsidRPr="00D33827">
        <w:t xml:space="preserve">To undertake a study, in cooperation with and reflecting the views of, inter alia, States and relevant United Nations bodies and mechanisms, international and regional organizations, national human rights institutions and non-governmental organizations, on the ways and means to implement the issues pertaining to the mandate; </w:t>
      </w:r>
    </w:p>
    <w:p w:rsidR="0027058A" w:rsidRPr="00D33827" w:rsidRDefault="004F28B3" w:rsidP="004F28B3">
      <w:pPr>
        <w:pStyle w:val="SingleTxtG"/>
      </w:pPr>
      <w:r>
        <w:tab/>
      </w:r>
      <w:r w:rsidR="008F2331">
        <w:t>(</w:t>
      </w:r>
      <w:r w:rsidR="00B1610C" w:rsidRPr="008F2331">
        <w:rPr>
          <w:i/>
        </w:rPr>
        <w:t>g</w:t>
      </w:r>
      <w:r w:rsidR="00B1610C">
        <w:t>)</w:t>
      </w:r>
      <w:r w:rsidR="00B1610C">
        <w:tab/>
      </w:r>
      <w:r w:rsidR="0027058A" w:rsidRPr="00D33827">
        <w:t xml:space="preserve">To conduct country visits and to respond promptly to invitations from States; </w:t>
      </w:r>
    </w:p>
    <w:p w:rsidR="0027058A" w:rsidRPr="00D33827" w:rsidRDefault="004F28B3" w:rsidP="004F28B3">
      <w:pPr>
        <w:pStyle w:val="SingleTxtG"/>
      </w:pPr>
      <w:r>
        <w:tab/>
      </w:r>
      <w:r w:rsidR="008F2331">
        <w:t>(</w:t>
      </w:r>
      <w:r w:rsidR="00B1610C" w:rsidRPr="008F2331">
        <w:rPr>
          <w:i/>
        </w:rPr>
        <w:t>h</w:t>
      </w:r>
      <w:r w:rsidR="00B1610C">
        <w:t>)</w:t>
      </w:r>
      <w:r w:rsidR="00B1610C">
        <w:tab/>
      </w:r>
      <w:r w:rsidR="0027058A" w:rsidRPr="00D33827">
        <w:t xml:space="preserve">To participate and contribute to relevant international conferences and events with the aim of promoting a systematic and coherent approach on issues pertaining to the mandate; </w:t>
      </w:r>
    </w:p>
    <w:p w:rsidR="0027058A" w:rsidRPr="00D33827" w:rsidRDefault="004F28B3" w:rsidP="004F28B3">
      <w:pPr>
        <w:pStyle w:val="SingleTxtG"/>
      </w:pPr>
      <w:r>
        <w:tab/>
      </w:r>
      <w:r w:rsidR="008F2331">
        <w:t>(</w:t>
      </w:r>
      <w:r w:rsidR="00B1610C" w:rsidRPr="008F2331">
        <w:rPr>
          <w:i/>
        </w:rPr>
        <w:t>i</w:t>
      </w:r>
      <w:r w:rsidR="00B1610C">
        <w:t>)</w:t>
      </w:r>
      <w:r w:rsidR="00B1610C">
        <w:tab/>
      </w:r>
      <w:r w:rsidR="0027058A" w:rsidRPr="00D33827">
        <w:t>To raise awareness concerning the value of a systematic and coherent approach when dealing with gross violations of human rights</w:t>
      </w:r>
      <w:r w:rsidR="0027058A" w:rsidRPr="0027058A">
        <w:t xml:space="preserve"> </w:t>
      </w:r>
      <w:r w:rsidR="0027058A" w:rsidRPr="00D33827">
        <w:t xml:space="preserve">and serious violations of international humanitarian law and </w:t>
      </w:r>
      <w:r w:rsidR="0027058A" w:rsidRPr="00D64052">
        <w:t>making</w:t>
      </w:r>
      <w:r w:rsidR="0027058A" w:rsidRPr="00D33827">
        <w:t xml:space="preserve"> recommendations in this regard;</w:t>
      </w:r>
    </w:p>
    <w:p w:rsidR="0027058A" w:rsidRPr="00D33827" w:rsidRDefault="004F28B3" w:rsidP="004F28B3">
      <w:pPr>
        <w:pStyle w:val="SingleTxtG"/>
      </w:pPr>
      <w:r>
        <w:tab/>
      </w:r>
      <w:r w:rsidR="008F2331">
        <w:t>(</w:t>
      </w:r>
      <w:r w:rsidR="00B1610C" w:rsidRPr="008F2331">
        <w:rPr>
          <w:i/>
        </w:rPr>
        <w:t>j</w:t>
      </w:r>
      <w:r w:rsidR="00B1610C">
        <w:t>)</w:t>
      </w:r>
      <w:r w:rsidR="00B1610C">
        <w:tab/>
      </w:r>
      <w:r w:rsidR="0027058A" w:rsidRPr="00D33827">
        <w:t>To integrate a gender perspective throughout the work of the mandate;</w:t>
      </w:r>
    </w:p>
    <w:p w:rsidR="0027058A" w:rsidRPr="00D33827" w:rsidRDefault="004F28B3" w:rsidP="004F28B3">
      <w:pPr>
        <w:pStyle w:val="SingleTxtG"/>
      </w:pPr>
      <w:r>
        <w:tab/>
      </w:r>
      <w:r w:rsidR="008F2331">
        <w:t>(</w:t>
      </w:r>
      <w:r w:rsidR="00B1610C" w:rsidRPr="008F2331">
        <w:rPr>
          <w:i/>
        </w:rPr>
        <w:t>k</w:t>
      </w:r>
      <w:r w:rsidR="00B1610C">
        <w:t>)</w:t>
      </w:r>
      <w:r w:rsidR="00B1610C">
        <w:tab/>
      </w:r>
      <w:r w:rsidR="0027058A" w:rsidRPr="00D33827">
        <w:t xml:space="preserve">To integrate a </w:t>
      </w:r>
      <w:r w:rsidR="0027058A" w:rsidRPr="0027058A">
        <w:t>victim-cent</w:t>
      </w:r>
      <w:r w:rsidR="004A1C4B">
        <w:t>r</w:t>
      </w:r>
      <w:r w:rsidR="0027058A" w:rsidRPr="0027058A">
        <w:t xml:space="preserve">ed approach </w:t>
      </w:r>
      <w:r w:rsidR="0027058A" w:rsidRPr="00D33827">
        <w:t>throughout the work of the mandate;</w:t>
      </w:r>
    </w:p>
    <w:p w:rsidR="0027058A" w:rsidRPr="00D33827" w:rsidRDefault="004F28B3" w:rsidP="004F28B3">
      <w:pPr>
        <w:pStyle w:val="SingleTxtG"/>
      </w:pPr>
      <w:r>
        <w:tab/>
      </w:r>
      <w:r w:rsidR="008F2331">
        <w:t>(</w:t>
      </w:r>
      <w:r w:rsidR="00B1610C" w:rsidRPr="008F2331">
        <w:rPr>
          <w:i/>
        </w:rPr>
        <w:t>l</w:t>
      </w:r>
      <w:r w:rsidR="00B1610C">
        <w:t>)</w:t>
      </w:r>
      <w:r w:rsidR="00B1610C">
        <w:tab/>
      </w:r>
      <w:r w:rsidR="0027058A" w:rsidRPr="00D33827">
        <w:t xml:space="preserve">To work in close coordination, while avoiding unnecessary duplication, with the </w:t>
      </w:r>
      <w:r w:rsidR="00145FC6">
        <w:t xml:space="preserve">Office of the </w:t>
      </w:r>
      <w:r w:rsidR="008A4AE6">
        <w:t xml:space="preserve">United Nations </w:t>
      </w:r>
      <w:r w:rsidR="00145FC6">
        <w:t>High Commissioner</w:t>
      </w:r>
      <w:r w:rsidR="008A4AE6">
        <w:t xml:space="preserve"> for Human Rights</w:t>
      </w:r>
      <w:r w:rsidR="0027058A" w:rsidRPr="00D33827">
        <w:t>, intergovernmental and non-governmental organizations, other special procedures of the Human Rights Council, and with other relevant actors</w:t>
      </w:r>
      <w:r w:rsidR="0027058A" w:rsidRPr="00D33827">
        <w:rPr>
          <w:rFonts w:eastAsia="SimSun"/>
        </w:rPr>
        <w:t xml:space="preserve">; </w:t>
      </w:r>
    </w:p>
    <w:p w:rsidR="0027058A" w:rsidRDefault="004F28B3" w:rsidP="004F28B3">
      <w:pPr>
        <w:pStyle w:val="SingleTxtG"/>
      </w:pPr>
      <w:r>
        <w:tab/>
      </w:r>
      <w:r w:rsidR="0027058A" w:rsidRPr="00D33827">
        <w:t>2.</w:t>
      </w:r>
      <w:r w:rsidR="00544F00">
        <w:tab/>
      </w:r>
      <w:r w:rsidR="0027058A" w:rsidRPr="00544F00">
        <w:rPr>
          <w:i/>
        </w:rPr>
        <w:t>Calls upon</w:t>
      </w:r>
      <w:r w:rsidR="0027058A" w:rsidRPr="00D33827">
        <w:t xml:space="preserve"> all Governments to cooperate with and assist the Special Rapporteur in the discharge of his or her mandate, to provide him or her with all the necessary information requested by him or her and to give serious consideration to responding favourably to his or her requests to visit their country in order to enable him or her to fulfil his or her duties effectively;</w:t>
      </w:r>
    </w:p>
    <w:p w:rsidR="0027058A" w:rsidRDefault="004F28B3" w:rsidP="004F28B3">
      <w:pPr>
        <w:pStyle w:val="SingleTxtG"/>
      </w:pPr>
      <w:r>
        <w:tab/>
      </w:r>
      <w:r w:rsidR="0027058A" w:rsidRPr="00D33827">
        <w:t>3.</w:t>
      </w:r>
      <w:r w:rsidR="00544F00">
        <w:tab/>
      </w:r>
      <w:r w:rsidR="0027058A" w:rsidRPr="00544F00">
        <w:rPr>
          <w:i/>
        </w:rPr>
        <w:t>Requests</w:t>
      </w:r>
      <w:r w:rsidR="0027058A" w:rsidRPr="00D33827">
        <w:t xml:space="preserve"> the Secretary-General and the High Commissioner to provide </w:t>
      </w:r>
      <w:r w:rsidR="008A4AE6" w:rsidRPr="00D33827">
        <w:t xml:space="preserve">the Special Rapporteur </w:t>
      </w:r>
      <w:r w:rsidR="008A4AE6">
        <w:t xml:space="preserve">with </w:t>
      </w:r>
      <w:r w:rsidR="0027058A" w:rsidRPr="00D33827">
        <w:t xml:space="preserve">all the human, technical and financial assistance </w:t>
      </w:r>
      <w:r w:rsidR="003E0E02" w:rsidRPr="00D33827">
        <w:t xml:space="preserve">necessary </w:t>
      </w:r>
      <w:r w:rsidR="0027058A" w:rsidRPr="00D33827">
        <w:t>for the effective fulfilment of his</w:t>
      </w:r>
      <w:r w:rsidR="00441E4A">
        <w:t xml:space="preserve"> or </w:t>
      </w:r>
      <w:r w:rsidR="0027058A" w:rsidRPr="00D33827">
        <w:t xml:space="preserve">her mandate; </w:t>
      </w:r>
    </w:p>
    <w:p w:rsidR="0027058A" w:rsidRDefault="004F28B3" w:rsidP="004F28B3">
      <w:pPr>
        <w:pStyle w:val="SingleTxtG"/>
      </w:pPr>
      <w:r>
        <w:tab/>
      </w:r>
      <w:r w:rsidR="0027058A" w:rsidRPr="00D33827">
        <w:t>4.</w:t>
      </w:r>
      <w:r w:rsidR="00544F00">
        <w:tab/>
      </w:r>
      <w:r w:rsidR="0027058A" w:rsidRPr="00544F00">
        <w:rPr>
          <w:i/>
        </w:rPr>
        <w:t xml:space="preserve">Requests </w:t>
      </w:r>
      <w:r w:rsidR="0027058A" w:rsidRPr="00D33827">
        <w:t>the Special Rapporteur to report annually to the Human Rights Co</w:t>
      </w:r>
      <w:r w:rsidR="0027058A">
        <w:t>uncil and the General Assembly.</w:t>
      </w:r>
    </w:p>
    <w:p w:rsidR="0027058A" w:rsidRPr="0027058A" w:rsidRDefault="0027058A" w:rsidP="0027058A">
      <w:pPr>
        <w:pStyle w:val="SingleTxtG"/>
        <w:spacing w:before="240" w:after="0"/>
        <w:jc w:val="center"/>
        <w:rPr>
          <w:u w:val="single"/>
        </w:rPr>
      </w:pPr>
      <w:r>
        <w:rPr>
          <w:u w:val="single"/>
        </w:rPr>
        <w:tab/>
      </w:r>
      <w:r>
        <w:rPr>
          <w:u w:val="single"/>
        </w:rPr>
        <w:tab/>
      </w:r>
      <w:r>
        <w:rPr>
          <w:u w:val="single"/>
        </w:rPr>
        <w:tab/>
      </w:r>
    </w:p>
    <w:sectPr w:rsidR="0027058A" w:rsidRPr="0027058A" w:rsidSect="00CA05F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61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E77" w:rsidRDefault="00DB0E77"/>
  </w:endnote>
  <w:endnote w:type="continuationSeparator" w:id="0">
    <w:p w:rsidR="00DB0E77" w:rsidRDefault="00DB0E77"/>
  </w:endnote>
  <w:endnote w:type="continuationNotice" w:id="1">
    <w:p w:rsidR="00DB0E77" w:rsidRDefault="00DB0E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6D" w:rsidRPr="00EE2A77" w:rsidRDefault="00BC5D6D"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135ABA">
      <w:rPr>
        <w:b/>
        <w:noProof/>
        <w:sz w:val="18"/>
      </w:rPr>
      <w:t>2</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6D" w:rsidRPr="00EE2A77" w:rsidRDefault="00BC5D6D"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731201">
      <w:rPr>
        <w:b/>
        <w:noProof/>
        <w:sz w:val="18"/>
      </w:rPr>
      <w:t>3</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6D" w:rsidRPr="00EE2A77" w:rsidRDefault="00BC5D6D"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GE.11-</w:t>
    </w:r>
    <w:r w:rsidR="009D4A51">
      <w:t>16388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E77" w:rsidRPr="000B175B" w:rsidRDefault="00DB0E77" w:rsidP="000B175B">
      <w:pPr>
        <w:tabs>
          <w:tab w:val="right" w:pos="2155"/>
        </w:tabs>
        <w:spacing w:after="80"/>
        <w:ind w:left="680"/>
        <w:rPr>
          <w:u w:val="single"/>
        </w:rPr>
      </w:pPr>
      <w:r>
        <w:rPr>
          <w:u w:val="single"/>
        </w:rPr>
        <w:tab/>
      </w:r>
    </w:p>
  </w:footnote>
  <w:footnote w:type="continuationSeparator" w:id="0">
    <w:p w:rsidR="00DB0E77" w:rsidRPr="00FC68B7" w:rsidRDefault="00DB0E77" w:rsidP="00FC68B7">
      <w:pPr>
        <w:tabs>
          <w:tab w:val="left" w:pos="2155"/>
        </w:tabs>
        <w:spacing w:after="80"/>
        <w:ind w:left="680"/>
        <w:rPr>
          <w:u w:val="single"/>
        </w:rPr>
      </w:pPr>
      <w:r>
        <w:rPr>
          <w:u w:val="single"/>
        </w:rPr>
        <w:tab/>
      </w:r>
    </w:p>
  </w:footnote>
  <w:footnote w:type="continuationNotice" w:id="1">
    <w:p w:rsidR="00DB0E77" w:rsidRDefault="00DB0E77"/>
  </w:footnote>
  <w:footnote w:id="2">
    <w:p w:rsidR="00BC5D6D" w:rsidRPr="00FE3295" w:rsidRDefault="00BC5D6D">
      <w:pPr>
        <w:pStyle w:val="FootnoteText"/>
      </w:pPr>
      <w:r>
        <w:tab/>
      </w:r>
      <w:r w:rsidRPr="00DD258F">
        <w:rPr>
          <w:rStyle w:val="FootnoteReference"/>
          <w:sz w:val="20"/>
        </w:rPr>
        <w:t>*</w:t>
      </w:r>
      <w:r>
        <w:rPr>
          <w:sz w:val="20"/>
        </w:rPr>
        <w:tab/>
      </w:r>
      <w:smartTag w:uri="urn:schemas-microsoft-com:office:smarttags" w:element="place">
        <w:smartTag w:uri="urn:schemas-microsoft-com:office:smarttags" w:element="PlaceName">
          <w:r>
            <w:t>Non-Member</w:t>
          </w:r>
        </w:smartTag>
        <w:r>
          <w:t xml:space="preserve"> </w:t>
        </w:r>
        <w:smartTag w:uri="urn:schemas-microsoft-com:office:smarttags" w:element="PlaceType">
          <w:r>
            <w:t>State</w:t>
          </w:r>
        </w:smartTag>
      </w:smartTag>
      <w:r>
        <w:t xml:space="preserve"> of the Human Rights Council.</w:t>
      </w:r>
    </w:p>
  </w:footnote>
  <w:footnote w:id="3">
    <w:p w:rsidR="00BC5D6D" w:rsidRPr="001C4D84" w:rsidRDefault="00BC5D6D">
      <w:pPr>
        <w:pStyle w:val="FootnoteText"/>
        <w:rPr>
          <w:lang w:val="es-ES"/>
        </w:rPr>
      </w:pPr>
      <w:r>
        <w:tab/>
      </w:r>
      <w:r>
        <w:rPr>
          <w:rStyle w:val="FootnoteReference"/>
        </w:rPr>
        <w:footnoteRef/>
      </w:r>
      <w:r w:rsidRPr="001C4D84">
        <w:rPr>
          <w:lang w:val="es-ES"/>
        </w:rPr>
        <w:tab/>
      </w:r>
      <w:r w:rsidRPr="001C4D84">
        <w:rPr>
          <w:rFonts w:eastAsia="SimSun"/>
          <w:lang w:val="es-ES"/>
        </w:rPr>
        <w:t>E/CN.4/Sub.2/1997/20/Rev.1, annex II.</w:t>
      </w:r>
    </w:p>
  </w:footnote>
  <w:footnote w:id="4">
    <w:p w:rsidR="00BC5D6D" w:rsidRPr="001C4D84" w:rsidRDefault="00BC5D6D">
      <w:pPr>
        <w:pStyle w:val="FootnoteText"/>
        <w:rPr>
          <w:lang w:val="es-ES"/>
        </w:rPr>
      </w:pPr>
      <w:r w:rsidRPr="001C4D84">
        <w:rPr>
          <w:lang w:val="es-ES"/>
        </w:rPr>
        <w:tab/>
      </w:r>
      <w:r>
        <w:rPr>
          <w:rStyle w:val="FootnoteReference"/>
        </w:rPr>
        <w:footnoteRef/>
      </w:r>
      <w:r w:rsidRPr="001C4D84">
        <w:rPr>
          <w:lang w:val="es-ES"/>
        </w:rPr>
        <w:tab/>
      </w:r>
      <w:r w:rsidRPr="001C4D84">
        <w:rPr>
          <w:rFonts w:eastAsia="SimSun"/>
          <w:lang w:val="es-ES"/>
        </w:rPr>
        <w:t>E/CN.4/2005/102/Add.1.</w:t>
      </w:r>
    </w:p>
  </w:footnote>
  <w:footnote w:id="5">
    <w:p w:rsidR="00BC5D6D" w:rsidRPr="00CF7F52" w:rsidRDefault="00BC5D6D">
      <w:pPr>
        <w:pStyle w:val="FootnoteText"/>
        <w:rPr>
          <w:lang w:val="en-US"/>
        </w:rPr>
      </w:pPr>
      <w:r w:rsidRPr="001C4D84">
        <w:rPr>
          <w:lang w:val="es-ES"/>
        </w:rPr>
        <w:tab/>
      </w:r>
      <w:r>
        <w:rPr>
          <w:rStyle w:val="FootnoteReference"/>
        </w:rPr>
        <w:footnoteRef/>
      </w:r>
      <w:r>
        <w:tab/>
        <w:t>S/2004/616.</w:t>
      </w:r>
    </w:p>
  </w:footnote>
  <w:footnote w:id="6">
    <w:p w:rsidR="00BC5D6D" w:rsidRPr="00CF7F52" w:rsidRDefault="00BC5D6D">
      <w:pPr>
        <w:pStyle w:val="FootnoteText"/>
        <w:rPr>
          <w:lang w:val="en-US"/>
        </w:rPr>
      </w:pPr>
      <w:r>
        <w:tab/>
      </w:r>
      <w:r>
        <w:rPr>
          <w:rStyle w:val="FootnoteReference"/>
        </w:rPr>
        <w:footnoteRef/>
      </w:r>
      <w:r>
        <w:tab/>
        <w:t>A/61/636-S/2006/980.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6D" w:rsidRPr="00EE2A77" w:rsidRDefault="00BC5D6D">
    <w:pPr>
      <w:pStyle w:val="Header"/>
    </w:pPr>
    <w:r>
      <w:t>A/HRC/18/L.22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6D" w:rsidRPr="00EE2A77" w:rsidRDefault="00BC5D6D" w:rsidP="00EE2A77">
    <w:pPr>
      <w:pStyle w:val="Header"/>
      <w:jc w:val="right"/>
    </w:pPr>
    <w:r>
      <w:t>A/HRC/18/L.22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BA43A8"/>
    <w:multiLevelType w:val="hybridMultilevel"/>
    <w:tmpl w:val="455AE600"/>
    <w:lvl w:ilvl="0" w:tplc="49FE0092">
      <w:start w:val="1"/>
      <w:numFmt w:val="lowerLetter"/>
      <w:lvlText w:val="%1)"/>
      <w:lvlJc w:val="left"/>
      <w:pPr>
        <w:ind w:left="1494" w:hanging="360"/>
      </w:pPr>
      <w:rPr>
        <w:rFonts w:ascii="Times New Roman" w:hAnsi="Times New Roman" w:cs="Times New Roman" w:hint="default"/>
        <w:b w:val="0"/>
      </w:rPr>
    </w:lvl>
    <w:lvl w:ilvl="1" w:tplc="04090019">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5">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es-E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007F7F"/>
    <w:rsid w:val="00022DB5"/>
    <w:rsid w:val="000403D1"/>
    <w:rsid w:val="000449AA"/>
    <w:rsid w:val="00050F6B"/>
    <w:rsid w:val="0005216E"/>
    <w:rsid w:val="00066D1B"/>
    <w:rsid w:val="00072C8C"/>
    <w:rsid w:val="00073E70"/>
    <w:rsid w:val="000876EB"/>
    <w:rsid w:val="00091419"/>
    <w:rsid w:val="000931C0"/>
    <w:rsid w:val="000A189C"/>
    <w:rsid w:val="000B175B"/>
    <w:rsid w:val="000B3A0F"/>
    <w:rsid w:val="000B4A3B"/>
    <w:rsid w:val="000D1851"/>
    <w:rsid w:val="000E0415"/>
    <w:rsid w:val="000E28AD"/>
    <w:rsid w:val="00135ABA"/>
    <w:rsid w:val="00145FC6"/>
    <w:rsid w:val="00146D32"/>
    <w:rsid w:val="001509BA"/>
    <w:rsid w:val="00187DB3"/>
    <w:rsid w:val="001A38CB"/>
    <w:rsid w:val="001B4B04"/>
    <w:rsid w:val="001C4D84"/>
    <w:rsid w:val="001C631C"/>
    <w:rsid w:val="001C6663"/>
    <w:rsid w:val="001C7895"/>
    <w:rsid w:val="001D26DF"/>
    <w:rsid w:val="001D6BF8"/>
    <w:rsid w:val="001E2790"/>
    <w:rsid w:val="00204329"/>
    <w:rsid w:val="00211E0B"/>
    <w:rsid w:val="00211E72"/>
    <w:rsid w:val="00214047"/>
    <w:rsid w:val="0022130F"/>
    <w:rsid w:val="002249A1"/>
    <w:rsid w:val="00237785"/>
    <w:rsid w:val="002410DD"/>
    <w:rsid w:val="00241466"/>
    <w:rsid w:val="00253D58"/>
    <w:rsid w:val="0027058A"/>
    <w:rsid w:val="0027725F"/>
    <w:rsid w:val="002C21F0"/>
    <w:rsid w:val="002D4176"/>
    <w:rsid w:val="002E7C76"/>
    <w:rsid w:val="002F006E"/>
    <w:rsid w:val="00305214"/>
    <w:rsid w:val="003107FA"/>
    <w:rsid w:val="003229D8"/>
    <w:rsid w:val="003314D1"/>
    <w:rsid w:val="00335A2F"/>
    <w:rsid w:val="00341937"/>
    <w:rsid w:val="00363189"/>
    <w:rsid w:val="003751CC"/>
    <w:rsid w:val="00390052"/>
    <w:rsid w:val="0039277A"/>
    <w:rsid w:val="003972E0"/>
    <w:rsid w:val="003975ED"/>
    <w:rsid w:val="003A374E"/>
    <w:rsid w:val="003A7D72"/>
    <w:rsid w:val="003C202B"/>
    <w:rsid w:val="003C2CC4"/>
    <w:rsid w:val="003D4B23"/>
    <w:rsid w:val="003E0E02"/>
    <w:rsid w:val="004039FE"/>
    <w:rsid w:val="004105C7"/>
    <w:rsid w:val="00424C80"/>
    <w:rsid w:val="00427510"/>
    <w:rsid w:val="004325CB"/>
    <w:rsid w:val="00441E4A"/>
    <w:rsid w:val="0044503A"/>
    <w:rsid w:val="00446DE4"/>
    <w:rsid w:val="00447761"/>
    <w:rsid w:val="00451EC3"/>
    <w:rsid w:val="004721B1"/>
    <w:rsid w:val="004859EC"/>
    <w:rsid w:val="00496A15"/>
    <w:rsid w:val="004973E0"/>
    <w:rsid w:val="004A1C4B"/>
    <w:rsid w:val="004B75D2"/>
    <w:rsid w:val="004D1140"/>
    <w:rsid w:val="004E5D58"/>
    <w:rsid w:val="004F28B3"/>
    <w:rsid w:val="004F55ED"/>
    <w:rsid w:val="00500C69"/>
    <w:rsid w:val="0052176C"/>
    <w:rsid w:val="005229B6"/>
    <w:rsid w:val="005261E5"/>
    <w:rsid w:val="005420F2"/>
    <w:rsid w:val="00542574"/>
    <w:rsid w:val="005436AB"/>
    <w:rsid w:val="00544F00"/>
    <w:rsid w:val="00546DBF"/>
    <w:rsid w:val="00553D76"/>
    <w:rsid w:val="005552B5"/>
    <w:rsid w:val="0056117B"/>
    <w:rsid w:val="00571365"/>
    <w:rsid w:val="00597B57"/>
    <w:rsid w:val="005A425B"/>
    <w:rsid w:val="005B3DB3"/>
    <w:rsid w:val="005B6E48"/>
    <w:rsid w:val="005E1712"/>
    <w:rsid w:val="00611FC4"/>
    <w:rsid w:val="006176FB"/>
    <w:rsid w:val="006253BE"/>
    <w:rsid w:val="006328EE"/>
    <w:rsid w:val="00640B26"/>
    <w:rsid w:val="00644BB3"/>
    <w:rsid w:val="006601B6"/>
    <w:rsid w:val="0066523D"/>
    <w:rsid w:val="00670741"/>
    <w:rsid w:val="006947AE"/>
    <w:rsid w:val="00694E65"/>
    <w:rsid w:val="00696BD6"/>
    <w:rsid w:val="006A586A"/>
    <w:rsid w:val="006A6B9D"/>
    <w:rsid w:val="006A7392"/>
    <w:rsid w:val="006B3189"/>
    <w:rsid w:val="006B7D65"/>
    <w:rsid w:val="006C16BB"/>
    <w:rsid w:val="006D3822"/>
    <w:rsid w:val="006D6DA6"/>
    <w:rsid w:val="006E564B"/>
    <w:rsid w:val="006F13F0"/>
    <w:rsid w:val="006F5035"/>
    <w:rsid w:val="0070635F"/>
    <w:rsid w:val="007065EB"/>
    <w:rsid w:val="0071701A"/>
    <w:rsid w:val="00720183"/>
    <w:rsid w:val="0072632A"/>
    <w:rsid w:val="0072745E"/>
    <w:rsid w:val="00731201"/>
    <w:rsid w:val="0074200B"/>
    <w:rsid w:val="00742811"/>
    <w:rsid w:val="00793A62"/>
    <w:rsid w:val="007A1F08"/>
    <w:rsid w:val="007A6296"/>
    <w:rsid w:val="007B208E"/>
    <w:rsid w:val="007B6BA5"/>
    <w:rsid w:val="007C1B62"/>
    <w:rsid w:val="007C3390"/>
    <w:rsid w:val="007C4F4B"/>
    <w:rsid w:val="007C64D6"/>
    <w:rsid w:val="007D2CDC"/>
    <w:rsid w:val="007D5327"/>
    <w:rsid w:val="007F6611"/>
    <w:rsid w:val="008155C3"/>
    <w:rsid w:val="008175E9"/>
    <w:rsid w:val="0082243E"/>
    <w:rsid w:val="008242D7"/>
    <w:rsid w:val="00856CD2"/>
    <w:rsid w:val="00861BC6"/>
    <w:rsid w:val="00871FD5"/>
    <w:rsid w:val="008979B1"/>
    <w:rsid w:val="008A4AE6"/>
    <w:rsid w:val="008A6B25"/>
    <w:rsid w:val="008A6C4F"/>
    <w:rsid w:val="008C1E4D"/>
    <w:rsid w:val="008E0E46"/>
    <w:rsid w:val="008F2331"/>
    <w:rsid w:val="0090452C"/>
    <w:rsid w:val="00907C3F"/>
    <w:rsid w:val="00917F24"/>
    <w:rsid w:val="0092237C"/>
    <w:rsid w:val="0093707B"/>
    <w:rsid w:val="009400EB"/>
    <w:rsid w:val="009427E3"/>
    <w:rsid w:val="00956D9B"/>
    <w:rsid w:val="00963CBA"/>
    <w:rsid w:val="009654B7"/>
    <w:rsid w:val="00976B90"/>
    <w:rsid w:val="009810D1"/>
    <w:rsid w:val="00991261"/>
    <w:rsid w:val="009A0B83"/>
    <w:rsid w:val="009B019A"/>
    <w:rsid w:val="009B3800"/>
    <w:rsid w:val="009D22AC"/>
    <w:rsid w:val="009D38B1"/>
    <w:rsid w:val="009D4A51"/>
    <w:rsid w:val="009D50DB"/>
    <w:rsid w:val="009E1C4E"/>
    <w:rsid w:val="009F58A8"/>
    <w:rsid w:val="00A05E0B"/>
    <w:rsid w:val="00A1427D"/>
    <w:rsid w:val="00A4634F"/>
    <w:rsid w:val="00A50B60"/>
    <w:rsid w:val="00A51CF3"/>
    <w:rsid w:val="00A72F22"/>
    <w:rsid w:val="00A748A6"/>
    <w:rsid w:val="00A879A4"/>
    <w:rsid w:val="00A87E95"/>
    <w:rsid w:val="00A92E29"/>
    <w:rsid w:val="00A9707D"/>
    <w:rsid w:val="00AB2479"/>
    <w:rsid w:val="00AB536C"/>
    <w:rsid w:val="00AD09E9"/>
    <w:rsid w:val="00AE10F2"/>
    <w:rsid w:val="00AE16A4"/>
    <w:rsid w:val="00AF0576"/>
    <w:rsid w:val="00AF2D23"/>
    <w:rsid w:val="00AF3829"/>
    <w:rsid w:val="00B037F0"/>
    <w:rsid w:val="00B1610C"/>
    <w:rsid w:val="00B2327D"/>
    <w:rsid w:val="00B2718F"/>
    <w:rsid w:val="00B30179"/>
    <w:rsid w:val="00B3317B"/>
    <w:rsid w:val="00B334DC"/>
    <w:rsid w:val="00B3631A"/>
    <w:rsid w:val="00B4035F"/>
    <w:rsid w:val="00B41310"/>
    <w:rsid w:val="00B504C2"/>
    <w:rsid w:val="00B5276E"/>
    <w:rsid w:val="00B53013"/>
    <w:rsid w:val="00B53362"/>
    <w:rsid w:val="00B57EDB"/>
    <w:rsid w:val="00B67F5E"/>
    <w:rsid w:val="00B73E65"/>
    <w:rsid w:val="00B81E12"/>
    <w:rsid w:val="00B87110"/>
    <w:rsid w:val="00B97FA8"/>
    <w:rsid w:val="00BB5313"/>
    <w:rsid w:val="00BC0F8E"/>
    <w:rsid w:val="00BC1385"/>
    <w:rsid w:val="00BC5D6D"/>
    <w:rsid w:val="00BC74E9"/>
    <w:rsid w:val="00BE618E"/>
    <w:rsid w:val="00BE6DD6"/>
    <w:rsid w:val="00BF16EC"/>
    <w:rsid w:val="00C04B6A"/>
    <w:rsid w:val="00C24693"/>
    <w:rsid w:val="00C24BD0"/>
    <w:rsid w:val="00C30077"/>
    <w:rsid w:val="00C359A4"/>
    <w:rsid w:val="00C35F0B"/>
    <w:rsid w:val="00C463DD"/>
    <w:rsid w:val="00C50A38"/>
    <w:rsid w:val="00C64458"/>
    <w:rsid w:val="00C745C3"/>
    <w:rsid w:val="00C74BF8"/>
    <w:rsid w:val="00C96B8E"/>
    <w:rsid w:val="00CA05F5"/>
    <w:rsid w:val="00CA2A58"/>
    <w:rsid w:val="00CC0B55"/>
    <w:rsid w:val="00CD6995"/>
    <w:rsid w:val="00CE4A8F"/>
    <w:rsid w:val="00CF0214"/>
    <w:rsid w:val="00CF3588"/>
    <w:rsid w:val="00CF586F"/>
    <w:rsid w:val="00CF7D43"/>
    <w:rsid w:val="00CF7F52"/>
    <w:rsid w:val="00D11129"/>
    <w:rsid w:val="00D2031B"/>
    <w:rsid w:val="00D22332"/>
    <w:rsid w:val="00D25FE2"/>
    <w:rsid w:val="00D43252"/>
    <w:rsid w:val="00D46C19"/>
    <w:rsid w:val="00D550F9"/>
    <w:rsid w:val="00D553CE"/>
    <w:rsid w:val="00D572B0"/>
    <w:rsid w:val="00D62E90"/>
    <w:rsid w:val="00D64052"/>
    <w:rsid w:val="00D76BE5"/>
    <w:rsid w:val="00D978C6"/>
    <w:rsid w:val="00DA5B1E"/>
    <w:rsid w:val="00DA67AD"/>
    <w:rsid w:val="00DB0E77"/>
    <w:rsid w:val="00DB14D7"/>
    <w:rsid w:val="00DB18CE"/>
    <w:rsid w:val="00DD258F"/>
    <w:rsid w:val="00DD4550"/>
    <w:rsid w:val="00DE3EC0"/>
    <w:rsid w:val="00E051D8"/>
    <w:rsid w:val="00E11593"/>
    <w:rsid w:val="00E12B6B"/>
    <w:rsid w:val="00E130AB"/>
    <w:rsid w:val="00E23BBC"/>
    <w:rsid w:val="00E438D9"/>
    <w:rsid w:val="00E5644E"/>
    <w:rsid w:val="00E7260F"/>
    <w:rsid w:val="00E806EE"/>
    <w:rsid w:val="00E9471B"/>
    <w:rsid w:val="00E96630"/>
    <w:rsid w:val="00EA1376"/>
    <w:rsid w:val="00EA5DC2"/>
    <w:rsid w:val="00EB0FB9"/>
    <w:rsid w:val="00ED0CA9"/>
    <w:rsid w:val="00ED7A2A"/>
    <w:rsid w:val="00EE2A77"/>
    <w:rsid w:val="00EF1D7F"/>
    <w:rsid w:val="00EF5BDB"/>
    <w:rsid w:val="00F07FD9"/>
    <w:rsid w:val="00F15AA7"/>
    <w:rsid w:val="00F23933"/>
    <w:rsid w:val="00F24119"/>
    <w:rsid w:val="00F40E75"/>
    <w:rsid w:val="00F42CD9"/>
    <w:rsid w:val="00F50178"/>
    <w:rsid w:val="00F52936"/>
    <w:rsid w:val="00F629EA"/>
    <w:rsid w:val="00F677CB"/>
    <w:rsid w:val="00F833E8"/>
    <w:rsid w:val="00F85822"/>
    <w:rsid w:val="00FA7DF3"/>
    <w:rsid w:val="00FB7E67"/>
    <w:rsid w:val="00FC48F4"/>
    <w:rsid w:val="00FC68B7"/>
    <w:rsid w:val="00FD7C12"/>
    <w:rsid w:val="00FE32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semiHidden/>
    <w:rsid w:val="006253BE"/>
    <w:rPr>
      <w:rFonts w:ascii="Tahoma" w:hAnsi="Tahoma" w:cs="Tahoma"/>
      <w:sz w:val="16"/>
      <w:szCs w:val="16"/>
    </w:rPr>
  </w:style>
  <w:style w:type="character" w:styleId="CommentReference">
    <w:name w:val="annotation reference"/>
    <w:semiHidden/>
    <w:rsid w:val="00CF7F52"/>
    <w:rPr>
      <w:sz w:val="16"/>
      <w:szCs w:val="16"/>
    </w:rPr>
  </w:style>
  <w:style w:type="paragraph" w:styleId="CommentText">
    <w:name w:val="annotation text"/>
    <w:basedOn w:val="Normal"/>
    <w:semiHidden/>
    <w:rsid w:val="00CF7F52"/>
  </w:style>
  <w:style w:type="paragraph" w:styleId="CommentSubject">
    <w:name w:val="annotation subject"/>
    <w:basedOn w:val="CommentText"/>
    <w:next w:val="CommentText"/>
    <w:semiHidden/>
    <w:rsid w:val="00CF7F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HLS User</cp:lastModifiedBy>
  <cp:revision>2</cp:revision>
  <cp:lastPrinted>2011-09-26T15:06:00Z</cp:lastPrinted>
  <dcterms:created xsi:type="dcterms:W3CDTF">2011-10-03T14:26:00Z</dcterms:created>
  <dcterms:modified xsi:type="dcterms:W3CDTF">2011-10-03T14:26:00Z</dcterms:modified>
</cp:coreProperties>
</file>