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CD768" w14:textId="77777777" w:rsidR="0042731D" w:rsidRPr="00956D27" w:rsidRDefault="0042731D" w:rsidP="0042731D">
      <w:pPr>
        <w:widowControl w:val="0"/>
        <w:autoSpaceDE w:val="0"/>
        <w:autoSpaceDN w:val="0"/>
        <w:adjustRightInd w:val="0"/>
        <w:rPr>
          <w:rFonts w:cs="Helvetica"/>
          <w:sz w:val="28"/>
          <w:szCs w:val="28"/>
          <w:lang w:val="es-ES_tradnl"/>
        </w:rPr>
      </w:pPr>
      <w:bookmarkStart w:id="0" w:name="_GoBack"/>
      <w:bookmarkEnd w:id="0"/>
      <w:r w:rsidRPr="00956D27">
        <w:rPr>
          <w:rFonts w:ascii="Arial" w:eastAsia="Times New Roman" w:hAnsi="Arial" w:cs="Arial"/>
          <w:noProof/>
          <w:sz w:val="20"/>
          <w:szCs w:val="20"/>
        </w:rPr>
        <w:drawing>
          <wp:inline distT="0" distB="0" distL="0" distR="0" wp14:anchorId="1A062BC5" wp14:editId="79C9E454">
            <wp:extent cx="2657475" cy="345322"/>
            <wp:effectExtent l="19050" t="0" r="9525" b="0"/>
            <wp:docPr id="11" name="Picture 11" descr="http://ccrjustice.org/themes/ccr/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crjustice.org/themes/ccr/images/logo.gif"/>
                    <pic:cNvPicPr>
                      <a:picLocks noChangeAspect="1" noChangeArrowheads="1"/>
                    </pic:cNvPicPr>
                  </pic:nvPicPr>
                  <pic:blipFill>
                    <a:blip r:embed="rId9" cstate="print"/>
                    <a:srcRect/>
                    <a:stretch>
                      <a:fillRect/>
                    </a:stretch>
                  </pic:blipFill>
                  <pic:spPr bwMode="auto">
                    <a:xfrm>
                      <a:off x="0" y="0"/>
                      <a:ext cx="2657475" cy="345322"/>
                    </a:xfrm>
                    <a:prstGeom prst="rect">
                      <a:avLst/>
                    </a:prstGeom>
                    <a:noFill/>
                    <a:ln w="9525">
                      <a:noFill/>
                      <a:miter lim="800000"/>
                      <a:headEnd/>
                      <a:tailEnd/>
                    </a:ln>
                  </pic:spPr>
                </pic:pic>
              </a:graphicData>
            </a:graphic>
          </wp:inline>
        </w:drawing>
      </w:r>
      <w:r w:rsidRPr="00956D27">
        <w:rPr>
          <w:rFonts w:ascii="Arial" w:eastAsia="Times New Roman" w:hAnsi="Arial" w:cs="Arial"/>
          <w:noProof/>
          <w:sz w:val="20"/>
          <w:szCs w:val="20"/>
        </w:rPr>
        <w:drawing>
          <wp:inline distT="0" distB="0" distL="0" distR="0" wp14:anchorId="51495A75" wp14:editId="6CD6FB60">
            <wp:extent cx="2662947" cy="479050"/>
            <wp:effectExtent l="0" t="0" r="4445" b="3810"/>
            <wp:docPr id="12" name="Picture 12" descr="http://t1.gstatic.com/images?q=tbn:ANd9GcQ2i5hiUMyyp-DMI63txfxEFqpOtq77VZVguATgu70X1zHGYD8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1.gstatic.com/images?q=tbn:ANd9GcQ2i5hiUMyyp-DMI63txfxEFqpOtq77VZVguATgu70X1zHGYD8S"/>
                    <pic:cNvPicPr>
                      <a:picLocks noChangeAspect="1" noChangeArrowheads="1"/>
                    </pic:cNvPicPr>
                  </pic:nvPicPr>
                  <pic:blipFill>
                    <a:blip r:embed="rId10" cstate="print"/>
                    <a:srcRect/>
                    <a:stretch>
                      <a:fillRect/>
                    </a:stretch>
                  </pic:blipFill>
                  <pic:spPr bwMode="auto">
                    <a:xfrm>
                      <a:off x="0" y="0"/>
                      <a:ext cx="2662947" cy="479050"/>
                    </a:xfrm>
                    <a:prstGeom prst="rect">
                      <a:avLst/>
                    </a:prstGeom>
                    <a:noFill/>
                    <a:ln w="9525">
                      <a:noFill/>
                      <a:miter lim="800000"/>
                      <a:headEnd/>
                      <a:tailEnd/>
                    </a:ln>
                  </pic:spPr>
                </pic:pic>
              </a:graphicData>
            </a:graphic>
          </wp:inline>
        </w:drawing>
      </w:r>
    </w:p>
    <w:p w14:paraId="00F78D8D" w14:textId="77777777" w:rsidR="008567BB" w:rsidRPr="00956D27" w:rsidRDefault="00D93403" w:rsidP="0042731D">
      <w:pPr>
        <w:widowControl w:val="0"/>
        <w:autoSpaceDE w:val="0"/>
        <w:autoSpaceDN w:val="0"/>
        <w:adjustRightInd w:val="0"/>
        <w:rPr>
          <w:rFonts w:cs="Helvetica"/>
          <w:sz w:val="28"/>
          <w:szCs w:val="28"/>
          <w:lang w:val="es-ES_tradnl"/>
        </w:rPr>
      </w:pPr>
      <w:r w:rsidRPr="00956D27">
        <w:rPr>
          <w:rFonts w:cs="Helvetica"/>
          <w:noProof/>
          <w:sz w:val="28"/>
          <w:szCs w:val="28"/>
        </w:rPr>
        <w:drawing>
          <wp:anchor distT="0" distB="0" distL="114300" distR="114300" simplePos="0" relativeHeight="251662336" behindDoc="1" locked="0" layoutInCell="1" allowOverlap="1" wp14:anchorId="3499DB1D" wp14:editId="0D77C6BC">
            <wp:simplePos x="0" y="0"/>
            <wp:positionH relativeFrom="column">
              <wp:posOffset>342900</wp:posOffset>
            </wp:positionH>
            <wp:positionV relativeFrom="paragraph">
              <wp:posOffset>116205</wp:posOffset>
            </wp:positionV>
            <wp:extent cx="2590800" cy="4953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0800" cy="495300"/>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3FE0F33" w14:textId="77777777" w:rsidR="00D93403" w:rsidRPr="00956D27" w:rsidRDefault="00EA4B7D" w:rsidP="00EA4B7D">
      <w:pPr>
        <w:widowControl w:val="0"/>
        <w:autoSpaceDE w:val="0"/>
        <w:autoSpaceDN w:val="0"/>
        <w:adjustRightInd w:val="0"/>
        <w:ind w:left="5760"/>
        <w:rPr>
          <w:rFonts w:cs="Helvetica"/>
          <w:sz w:val="28"/>
          <w:szCs w:val="28"/>
          <w:lang w:val="es-ES_tradnl"/>
        </w:rPr>
      </w:pPr>
      <w:r w:rsidRPr="00956D27">
        <w:rPr>
          <w:rFonts w:ascii="Times New Roman" w:hAnsi="Times New Roman" w:cs="Times New Roman"/>
          <w:noProof/>
          <w:sz w:val="32"/>
          <w:szCs w:val="32"/>
        </w:rPr>
        <w:drawing>
          <wp:inline distT="0" distB="0" distL="0" distR="0" wp14:anchorId="470FD84D" wp14:editId="45E9D46E">
            <wp:extent cx="945628" cy="3640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7869" cy="364930"/>
                    </a:xfrm>
                    <a:prstGeom prst="rect">
                      <a:avLst/>
                    </a:prstGeom>
                    <a:noFill/>
                    <a:ln>
                      <a:noFill/>
                    </a:ln>
                  </pic:spPr>
                </pic:pic>
              </a:graphicData>
            </a:graphic>
          </wp:inline>
        </w:drawing>
      </w:r>
    </w:p>
    <w:p w14:paraId="2980AFA3" w14:textId="5E67B2D3" w:rsidR="008567BB" w:rsidRPr="00956D27" w:rsidRDefault="008567BB" w:rsidP="0042731D">
      <w:pPr>
        <w:widowControl w:val="0"/>
        <w:autoSpaceDE w:val="0"/>
        <w:autoSpaceDN w:val="0"/>
        <w:adjustRightInd w:val="0"/>
        <w:rPr>
          <w:rFonts w:cs="Helvetica"/>
          <w:sz w:val="28"/>
          <w:szCs w:val="28"/>
          <w:lang w:val="es-ES_tradnl"/>
        </w:rPr>
      </w:pPr>
    </w:p>
    <w:p w14:paraId="259CFC93" w14:textId="77777777" w:rsidR="0042731D" w:rsidRPr="00956D27" w:rsidRDefault="008567BB" w:rsidP="009213C2">
      <w:pPr>
        <w:widowControl w:val="0"/>
        <w:autoSpaceDE w:val="0"/>
        <w:autoSpaceDN w:val="0"/>
        <w:adjustRightInd w:val="0"/>
        <w:rPr>
          <w:rFonts w:cs="Helvetica"/>
          <w:sz w:val="28"/>
          <w:szCs w:val="28"/>
          <w:lang w:val="es-ES_tradnl"/>
        </w:rPr>
      </w:pPr>
      <w:r w:rsidRPr="00956D27">
        <w:rPr>
          <w:rFonts w:cs="Helvetica"/>
          <w:sz w:val="28"/>
          <w:szCs w:val="28"/>
          <w:lang w:val="es-ES_tradnl"/>
        </w:rPr>
        <w:tab/>
      </w:r>
    </w:p>
    <w:p w14:paraId="467D2233" w14:textId="77777777" w:rsidR="00956D27" w:rsidRPr="00956D27" w:rsidRDefault="00956D27" w:rsidP="00956D27">
      <w:pPr>
        <w:spacing w:after="200" w:line="276" w:lineRule="auto"/>
        <w:rPr>
          <w:rFonts w:ascii="Times" w:hAnsi="Times" w:cs="Times New Roman"/>
          <w:sz w:val="20"/>
          <w:szCs w:val="20"/>
          <w:lang w:val="es-ES_tradnl"/>
        </w:rPr>
      </w:pPr>
      <w:r w:rsidRPr="00956D27">
        <w:rPr>
          <w:rFonts w:ascii="Raleway" w:hAnsi="Raleway" w:cs="Times New Roman"/>
          <w:color w:val="000000"/>
          <w:sz w:val="22"/>
          <w:szCs w:val="22"/>
          <w:lang w:val="es-ES_tradnl"/>
        </w:rPr>
        <w:t>Para difusión inmediata</w:t>
      </w:r>
    </w:p>
    <w:p w14:paraId="4995E734" w14:textId="77777777" w:rsidR="00956D27" w:rsidRDefault="00956D27" w:rsidP="00956D27">
      <w:pPr>
        <w:spacing w:after="200" w:line="276" w:lineRule="auto"/>
        <w:rPr>
          <w:rFonts w:ascii="Raleway" w:hAnsi="Raleway" w:cs="Times New Roman"/>
          <w:color w:val="000000"/>
          <w:sz w:val="22"/>
          <w:szCs w:val="22"/>
          <w:lang w:val="es-ES_tradnl"/>
        </w:rPr>
      </w:pPr>
      <w:r w:rsidRPr="00956D27">
        <w:rPr>
          <w:rFonts w:ascii="Raleway" w:hAnsi="Raleway" w:cs="Times New Roman"/>
          <w:color w:val="000000"/>
          <w:sz w:val="22"/>
          <w:szCs w:val="22"/>
          <w:lang w:val="es-ES_tradnl"/>
        </w:rPr>
        <w:t>17 de junio, 2016</w:t>
      </w:r>
    </w:p>
    <w:p w14:paraId="6EF0E989" w14:textId="77777777" w:rsidR="00581D0E" w:rsidRDefault="00581D0E" w:rsidP="00956D27">
      <w:pPr>
        <w:spacing w:after="200" w:line="276" w:lineRule="auto"/>
        <w:rPr>
          <w:rFonts w:ascii="Raleway" w:hAnsi="Raleway" w:cs="Times New Roman"/>
          <w:color w:val="000000"/>
          <w:sz w:val="22"/>
          <w:szCs w:val="22"/>
          <w:lang w:val="es-ES_tradnl"/>
        </w:rPr>
      </w:pPr>
    </w:p>
    <w:p w14:paraId="39375CCE" w14:textId="77777777" w:rsidR="00956D27" w:rsidRPr="00956D27" w:rsidRDefault="00956D27" w:rsidP="00956D27">
      <w:pPr>
        <w:spacing w:after="200" w:line="276" w:lineRule="auto"/>
        <w:rPr>
          <w:rFonts w:ascii="Times" w:hAnsi="Times" w:cs="Times New Roman"/>
          <w:sz w:val="20"/>
          <w:szCs w:val="20"/>
          <w:lang w:val="es-ES_tradnl"/>
        </w:rPr>
      </w:pPr>
    </w:p>
    <w:p w14:paraId="16D38637" w14:textId="77777777" w:rsidR="00956D27" w:rsidRPr="00956D27" w:rsidRDefault="00956D27" w:rsidP="00956D27">
      <w:pPr>
        <w:spacing w:after="200" w:line="276" w:lineRule="auto"/>
        <w:jc w:val="center"/>
        <w:rPr>
          <w:rFonts w:ascii="Times" w:hAnsi="Times" w:cs="Times New Roman"/>
          <w:sz w:val="20"/>
          <w:szCs w:val="20"/>
          <w:lang w:val="es-ES_tradnl"/>
        </w:rPr>
      </w:pPr>
      <w:r w:rsidRPr="00956D27">
        <w:rPr>
          <w:rFonts w:ascii="Raleway" w:hAnsi="Raleway" w:cs="Times New Roman"/>
          <w:b/>
          <w:bCs/>
          <w:color w:val="000000"/>
          <w:lang w:val="es-ES_tradnl"/>
        </w:rPr>
        <w:t xml:space="preserve">***Comunicado de Prensa*** </w:t>
      </w:r>
    </w:p>
    <w:p w14:paraId="4BD0BB08" w14:textId="77777777" w:rsidR="00956D27" w:rsidRPr="00956D27" w:rsidRDefault="00956D27" w:rsidP="00956D27">
      <w:pPr>
        <w:spacing w:after="200" w:line="276" w:lineRule="auto"/>
        <w:jc w:val="center"/>
        <w:rPr>
          <w:rFonts w:ascii="Times" w:hAnsi="Times" w:cs="Times New Roman"/>
          <w:sz w:val="20"/>
          <w:szCs w:val="20"/>
          <w:lang w:val="es-ES_tradnl"/>
        </w:rPr>
      </w:pPr>
      <w:r w:rsidRPr="00956D27">
        <w:rPr>
          <w:rFonts w:ascii="Raleway" w:hAnsi="Raleway" w:cs="Times New Roman"/>
          <w:b/>
          <w:bCs/>
          <w:color w:val="000000"/>
          <w:lang w:val="es-ES_tradnl"/>
        </w:rPr>
        <w:t>El caso contra el ex-presidente de Bolivia por su papel en una masacre en 2003 puede proceder</w:t>
      </w:r>
    </w:p>
    <w:p w14:paraId="21A3ED96" w14:textId="77777777" w:rsidR="00956D27" w:rsidRPr="00956D27" w:rsidRDefault="00956D27" w:rsidP="00956D27">
      <w:pPr>
        <w:spacing w:after="200" w:line="276" w:lineRule="auto"/>
        <w:jc w:val="center"/>
        <w:rPr>
          <w:rFonts w:ascii="Times" w:hAnsi="Times" w:cs="Times New Roman"/>
          <w:sz w:val="20"/>
          <w:szCs w:val="20"/>
          <w:lang w:val="es-ES_tradnl"/>
        </w:rPr>
      </w:pPr>
      <w:r w:rsidRPr="00956D27">
        <w:rPr>
          <w:rFonts w:ascii="Raleway" w:hAnsi="Raleway" w:cs="Times New Roman"/>
          <w:b/>
          <w:bCs/>
          <w:i/>
          <w:iCs/>
          <w:color w:val="000000"/>
          <w:lang w:val="es-ES_tradnl"/>
        </w:rPr>
        <w:t xml:space="preserve">Un Tribunal de apelaciones de Estados Unidos rechaza el intento de los demandados de hacer que el caso sea desechado </w:t>
      </w:r>
    </w:p>
    <w:p w14:paraId="28DE5881" w14:textId="77777777" w:rsidR="00956D27" w:rsidRPr="00956D27" w:rsidRDefault="00956D27" w:rsidP="00956D27">
      <w:pPr>
        <w:spacing w:after="200"/>
        <w:jc w:val="center"/>
        <w:rPr>
          <w:rFonts w:ascii="Times" w:hAnsi="Times" w:cs="Times New Roman"/>
          <w:sz w:val="20"/>
          <w:szCs w:val="20"/>
          <w:lang w:val="es-ES_tradnl"/>
        </w:rPr>
      </w:pPr>
      <w:r w:rsidRPr="00956D27">
        <w:rPr>
          <w:rFonts w:ascii="Raleway" w:hAnsi="Raleway" w:cs="Times New Roman"/>
          <w:color w:val="000000"/>
          <w:sz w:val="22"/>
          <w:szCs w:val="22"/>
          <w:lang w:val="es-ES_tradnl"/>
        </w:rPr>
        <w:t> </w:t>
      </w:r>
    </w:p>
    <w:p w14:paraId="74F60B80" w14:textId="77777777" w:rsidR="00956D27" w:rsidRPr="00956D27" w:rsidRDefault="00956D27" w:rsidP="00956D27">
      <w:pPr>
        <w:spacing w:after="200" w:line="276" w:lineRule="auto"/>
        <w:jc w:val="both"/>
        <w:rPr>
          <w:rFonts w:ascii="Times" w:hAnsi="Times" w:cs="Times New Roman"/>
          <w:sz w:val="20"/>
          <w:szCs w:val="20"/>
          <w:lang w:val="es-ES_tradnl"/>
        </w:rPr>
      </w:pPr>
      <w:r w:rsidRPr="00956D27">
        <w:rPr>
          <w:rFonts w:ascii="Raleway" w:hAnsi="Raleway" w:cs="Times New Roman"/>
          <w:b/>
          <w:bCs/>
          <w:color w:val="000000"/>
          <w:sz w:val="20"/>
          <w:szCs w:val="20"/>
          <w:lang w:val="es-ES_tradnl"/>
        </w:rPr>
        <w:t>Miami, FL</w:t>
      </w:r>
      <w:r w:rsidRPr="00956D27">
        <w:rPr>
          <w:rFonts w:ascii="Raleway" w:hAnsi="Raleway" w:cs="Times New Roman"/>
          <w:color w:val="000000"/>
          <w:sz w:val="20"/>
          <w:szCs w:val="20"/>
          <w:lang w:val="es-ES_tradnl"/>
        </w:rPr>
        <w:t xml:space="preserve"> – Más de doce años después de que unas masacres planificadas por el gobierno de Bolivia resultaran en la muerte de 58 civiles desarmados, el tribunal federal de apelación del onceavo circuito de Estados Unidos rechazó un intento de frustrar una demanda contra el ex Presidente de Bolivia y su ministro de Defensa, quienes viven en Estados Unidos. En lugar de ello, la corte de apelaciones devolvió el caso al tribunal de distrito con un mandato para proceder a la fase de exhibición de pruebas.</w:t>
      </w:r>
    </w:p>
    <w:p w14:paraId="1E242803" w14:textId="2E9BD327" w:rsidR="00956D27" w:rsidRPr="00956D27" w:rsidRDefault="00956D27" w:rsidP="00956D27">
      <w:pPr>
        <w:spacing w:after="200" w:line="276" w:lineRule="auto"/>
        <w:jc w:val="both"/>
        <w:rPr>
          <w:rFonts w:ascii="Times" w:hAnsi="Times" w:cs="Times New Roman"/>
          <w:sz w:val="20"/>
          <w:szCs w:val="20"/>
          <w:lang w:val="es-ES_tradnl"/>
        </w:rPr>
      </w:pPr>
      <w:r w:rsidRPr="00956D27">
        <w:rPr>
          <w:rFonts w:ascii="Raleway" w:hAnsi="Raleway" w:cs="Times New Roman"/>
          <w:color w:val="000000"/>
          <w:sz w:val="20"/>
          <w:szCs w:val="20"/>
          <w:lang w:val="es-ES_tradnl"/>
        </w:rPr>
        <w:t xml:space="preserve">En el caso </w:t>
      </w:r>
      <w:r w:rsidRPr="00956D27">
        <w:rPr>
          <w:rFonts w:ascii="Raleway" w:hAnsi="Raleway" w:cs="Times New Roman"/>
          <w:i/>
          <w:iCs/>
          <w:color w:val="000000"/>
          <w:sz w:val="20"/>
          <w:szCs w:val="20"/>
          <w:lang w:val="es-ES_tradnl"/>
        </w:rPr>
        <w:t xml:space="preserve">Mamani v. Sánchez de Lozada y Sánchez </w:t>
      </w:r>
      <w:proofErr w:type="spellStart"/>
      <w:r w:rsidRPr="00956D27">
        <w:rPr>
          <w:rFonts w:ascii="Raleway" w:hAnsi="Raleway" w:cs="Times New Roman"/>
          <w:i/>
          <w:iCs/>
          <w:color w:val="000000"/>
          <w:sz w:val="20"/>
          <w:szCs w:val="20"/>
          <w:lang w:val="es-ES_tradnl"/>
        </w:rPr>
        <w:t>Berzain</w:t>
      </w:r>
      <w:proofErr w:type="spellEnd"/>
      <w:r w:rsidRPr="00956D27">
        <w:rPr>
          <w:rFonts w:ascii="Raleway" w:hAnsi="Raleway" w:cs="Times New Roman"/>
          <w:color w:val="000000"/>
          <w:sz w:val="20"/>
          <w:szCs w:val="20"/>
          <w:lang w:val="es-ES_tradnl"/>
        </w:rPr>
        <w:t xml:space="preserve">, las familias de ocho bolivianos muertos en las masacres interpusieron una demanda contra el ex presidente de Bolivia, Gonzalo Sánchez de Lozada y su ex ministro de Defensa de Bolivia, José Carlos Sánchez </w:t>
      </w:r>
      <w:proofErr w:type="spellStart"/>
      <w:r w:rsidRPr="00956D27">
        <w:rPr>
          <w:rFonts w:ascii="Raleway" w:hAnsi="Raleway" w:cs="Times New Roman"/>
          <w:color w:val="000000"/>
          <w:sz w:val="20"/>
          <w:szCs w:val="20"/>
          <w:lang w:val="es-ES_tradnl"/>
        </w:rPr>
        <w:t>Berzaín</w:t>
      </w:r>
      <w:proofErr w:type="spellEnd"/>
      <w:r w:rsidRPr="00956D27">
        <w:rPr>
          <w:rFonts w:ascii="Raleway" w:hAnsi="Raleway" w:cs="Times New Roman"/>
          <w:color w:val="000000"/>
          <w:sz w:val="20"/>
          <w:szCs w:val="20"/>
          <w:lang w:val="es-ES_tradnl"/>
        </w:rPr>
        <w:t xml:space="preserve">, alegando que habían ordenado ejecuciones extrajudiciales. La demanda alega que, meses antes de esta violencia, los dos demandados elaboraron </w:t>
      </w:r>
      <w:r w:rsidR="00EF017C" w:rsidRPr="00EF017C">
        <w:rPr>
          <w:rFonts w:ascii="Raleway" w:hAnsi="Raleway" w:cs="Times New Roman"/>
          <w:color w:val="000000"/>
          <w:sz w:val="20"/>
          <w:szCs w:val="20"/>
          <w:lang w:val="es-ES_tradnl"/>
        </w:rPr>
        <w:t>un plan para reprimir la protesta social con uso de fuerza letal que preveía  la muerte de miles de civiles desarmados</w:t>
      </w:r>
      <w:r w:rsidRPr="00956D27">
        <w:rPr>
          <w:rFonts w:ascii="Raleway" w:hAnsi="Raleway" w:cs="Times New Roman"/>
          <w:color w:val="000000"/>
          <w:sz w:val="20"/>
          <w:szCs w:val="20"/>
          <w:lang w:val="es-ES_tradnl"/>
        </w:rPr>
        <w:t xml:space="preserve">. También alega que los </w:t>
      </w:r>
      <w:r w:rsidRPr="00956D27">
        <w:rPr>
          <w:rFonts w:ascii="Raleway" w:hAnsi="Raleway" w:cs="Times New Roman"/>
          <w:color w:val="000000"/>
          <w:sz w:val="20"/>
          <w:szCs w:val="20"/>
          <w:lang w:val="es-ES_tradnl"/>
        </w:rPr>
        <w:lastRenderedPageBreak/>
        <w:t>demandados utilizaron intencionadamente la fuerza letal para reprimir protestas políticas, en un esfuerzo por sofocar la oposición política. Además de las muertes, más de 400 civiles fueron heridos cuando las fuerzas de seguridad del estado dispararon contra civiles desarmados.</w:t>
      </w:r>
    </w:p>
    <w:p w14:paraId="6C1FADF7" w14:textId="77777777" w:rsidR="00956D27" w:rsidRPr="00956D27" w:rsidRDefault="00956D27" w:rsidP="00956D27">
      <w:pPr>
        <w:spacing w:after="200" w:line="276" w:lineRule="auto"/>
        <w:jc w:val="both"/>
        <w:rPr>
          <w:rFonts w:ascii="Times" w:hAnsi="Times" w:cs="Times New Roman"/>
          <w:sz w:val="20"/>
          <w:szCs w:val="20"/>
          <w:lang w:val="es-ES_tradnl"/>
        </w:rPr>
      </w:pPr>
      <w:r w:rsidRPr="00956D27">
        <w:rPr>
          <w:rFonts w:ascii="Raleway" w:hAnsi="Raleway" w:cs="Times New Roman"/>
          <w:color w:val="000000"/>
          <w:sz w:val="20"/>
          <w:szCs w:val="20"/>
          <w:lang w:val="es-ES_tradnl"/>
        </w:rPr>
        <w:t>En su fallo del 16 de junio, el tribunal de apelaciones sostuvo por unanimidad que un estatuto federal, la Ley de Protección de las Víctimas de Tortura (TVPA, por su nombre en inglés), permite que las familias de las víctimas presenten sus demandas por ejecución extrajudicial en tribunales de Estados Unidos, después de haber agotado los recursos disponibles en su país de origen. El tribunal rechazó los argumentos de los demandados que le pedían desestimar el caso porque los demandantes recibieron algo de compensación y asistencia humanitaria en Bolivia. La decisión sienta un precedente legal importante porque ninguna corte de apelaciones federal había considerado previamente los argumentos de los demandados sobre el agotamiento de recursos en el extranjero.</w:t>
      </w:r>
    </w:p>
    <w:p w14:paraId="1661C363" w14:textId="77777777" w:rsidR="00956D27" w:rsidRPr="00956D27" w:rsidRDefault="00956D27" w:rsidP="00956D27">
      <w:pPr>
        <w:spacing w:after="200" w:line="276" w:lineRule="auto"/>
        <w:jc w:val="both"/>
        <w:rPr>
          <w:rFonts w:ascii="Times" w:hAnsi="Times" w:cs="Times New Roman"/>
          <w:sz w:val="20"/>
          <w:szCs w:val="20"/>
          <w:lang w:val="es-ES_tradnl"/>
        </w:rPr>
      </w:pPr>
      <w:r w:rsidRPr="00956D27">
        <w:rPr>
          <w:rFonts w:ascii="Raleway" w:hAnsi="Raleway" w:cs="Times New Roman"/>
          <w:color w:val="000000"/>
          <w:sz w:val="20"/>
          <w:szCs w:val="20"/>
          <w:lang w:val="es-ES_tradnl"/>
        </w:rPr>
        <w:t xml:space="preserve">Desde que este caso se presentó ante los tribunales de Estados Unidos en 2007, siete ex funcionarios del Gobierno boliviano, incluidos miembros del alto mando militar y ministros, han sido condenados en Bolivia por su participación en las masacres de 2003. Sánchez de Lozada y Sánchez </w:t>
      </w:r>
      <w:proofErr w:type="spellStart"/>
      <w:r w:rsidRPr="00956D27">
        <w:rPr>
          <w:rFonts w:ascii="Raleway" w:hAnsi="Raleway" w:cs="Times New Roman"/>
          <w:color w:val="000000"/>
          <w:sz w:val="20"/>
          <w:szCs w:val="20"/>
          <w:lang w:val="es-ES_tradnl"/>
        </w:rPr>
        <w:t>Berzaín</w:t>
      </w:r>
      <w:proofErr w:type="spellEnd"/>
      <w:r w:rsidRPr="00956D27">
        <w:rPr>
          <w:rFonts w:ascii="Raleway" w:hAnsi="Raleway" w:cs="Times New Roman"/>
          <w:color w:val="000000"/>
          <w:sz w:val="20"/>
          <w:szCs w:val="20"/>
          <w:lang w:val="es-ES_tradnl"/>
        </w:rPr>
        <w:t xml:space="preserve">, por su parte, han estado viviendo en Estados Unidos desde 2003, cuando huyeron de Bolivia en respuesta a las protestas generalizadas contra sus políticas brutales y las muertes que resultaron. </w:t>
      </w:r>
    </w:p>
    <w:p w14:paraId="3F915ABF" w14:textId="3F99EDE2" w:rsidR="00956D27" w:rsidRPr="00956D27" w:rsidRDefault="00956D27" w:rsidP="00956D27">
      <w:pPr>
        <w:spacing w:after="200" w:line="276" w:lineRule="auto"/>
        <w:jc w:val="both"/>
        <w:rPr>
          <w:rFonts w:ascii="Times" w:hAnsi="Times" w:cs="Times New Roman"/>
          <w:sz w:val="20"/>
          <w:szCs w:val="20"/>
          <w:lang w:val="es-ES_tradnl"/>
        </w:rPr>
      </w:pPr>
      <w:r w:rsidRPr="00956D27">
        <w:rPr>
          <w:rFonts w:ascii="Raleway" w:hAnsi="Raleway" w:cs="Times New Roman"/>
          <w:color w:val="000000"/>
          <w:sz w:val="20"/>
          <w:szCs w:val="20"/>
          <w:lang w:val="es-ES_tradnl"/>
        </w:rPr>
        <w:t xml:space="preserve">“Los Estados Unidos no debe ser un </w:t>
      </w:r>
      <w:r w:rsidR="00F83EA4">
        <w:rPr>
          <w:rFonts w:ascii="Raleway" w:hAnsi="Raleway" w:cs="Times New Roman"/>
          <w:color w:val="000000"/>
          <w:sz w:val="20"/>
          <w:szCs w:val="20"/>
          <w:lang w:val="es-ES_tradnl"/>
        </w:rPr>
        <w:t>refugio</w:t>
      </w:r>
      <w:r w:rsidRPr="00956D27">
        <w:rPr>
          <w:rFonts w:ascii="Raleway" w:hAnsi="Raleway" w:cs="Times New Roman"/>
          <w:color w:val="000000"/>
          <w:sz w:val="20"/>
          <w:szCs w:val="20"/>
          <w:lang w:val="es-ES_tradnl"/>
        </w:rPr>
        <w:t xml:space="preserve"> seguro para quienes violan los derechos humanos” dijo Beth Stephens, abogada cooperante con el Centro para los Derechos Constitucionales (Center </w:t>
      </w:r>
      <w:proofErr w:type="spellStart"/>
      <w:r w:rsidRPr="00956D27">
        <w:rPr>
          <w:rFonts w:ascii="Raleway" w:hAnsi="Raleway" w:cs="Times New Roman"/>
          <w:color w:val="000000"/>
          <w:sz w:val="20"/>
          <w:szCs w:val="20"/>
          <w:lang w:val="es-ES_tradnl"/>
        </w:rPr>
        <w:t>for</w:t>
      </w:r>
      <w:proofErr w:type="spellEnd"/>
      <w:r w:rsidRPr="00956D27">
        <w:rPr>
          <w:rFonts w:ascii="Raleway" w:hAnsi="Raleway" w:cs="Times New Roman"/>
          <w:color w:val="000000"/>
          <w:sz w:val="20"/>
          <w:szCs w:val="20"/>
          <w:lang w:val="es-ES_tradnl"/>
        </w:rPr>
        <w:t xml:space="preserve"> </w:t>
      </w:r>
      <w:proofErr w:type="spellStart"/>
      <w:r w:rsidRPr="00956D27">
        <w:rPr>
          <w:rFonts w:ascii="Raleway" w:hAnsi="Raleway" w:cs="Times New Roman"/>
          <w:color w:val="000000"/>
          <w:sz w:val="20"/>
          <w:szCs w:val="20"/>
          <w:lang w:val="es-ES_tradnl"/>
        </w:rPr>
        <w:t>Constitutional</w:t>
      </w:r>
      <w:proofErr w:type="spellEnd"/>
      <w:r w:rsidRPr="00956D27">
        <w:rPr>
          <w:rFonts w:ascii="Raleway" w:hAnsi="Raleway" w:cs="Times New Roman"/>
          <w:color w:val="000000"/>
          <w:sz w:val="20"/>
          <w:szCs w:val="20"/>
          <w:lang w:val="es-ES_tradnl"/>
        </w:rPr>
        <w:t xml:space="preserve"> Rights), quien representa a los demandantes. "Eso es aún más cierto cuando los hechos demuestran que los demandados utilizaron intencionalmente la fuerza letal contra civiles desarmados en un intento de bloquear las protestas políticas."</w:t>
      </w:r>
    </w:p>
    <w:p w14:paraId="46532A8D" w14:textId="77777777" w:rsidR="00956D27" w:rsidRPr="00956D27" w:rsidRDefault="00956D27" w:rsidP="00956D27">
      <w:pPr>
        <w:spacing w:after="200" w:line="276" w:lineRule="auto"/>
        <w:jc w:val="both"/>
        <w:rPr>
          <w:rFonts w:ascii="Times" w:hAnsi="Times" w:cs="Times New Roman"/>
          <w:sz w:val="20"/>
          <w:szCs w:val="20"/>
          <w:lang w:val="es-ES_tradnl"/>
        </w:rPr>
      </w:pPr>
      <w:r w:rsidRPr="00956D27">
        <w:rPr>
          <w:rFonts w:ascii="Raleway" w:hAnsi="Raleway" w:cs="Times New Roman"/>
          <w:color w:val="000000"/>
          <w:sz w:val="20"/>
          <w:szCs w:val="20"/>
          <w:lang w:val="es-ES_tradnl"/>
        </w:rPr>
        <w:t xml:space="preserve">Entre los demandantes está Etelvina Ramos Mamani, cuya hija de ocho años, Marlene, murió en sus brazos después que Marlene recibiera un disparo de un francotirador militar. La niña estaba dentro de su casa, parada junto a una ventana. Sánchez de Lozada y Sánchez </w:t>
      </w:r>
      <w:proofErr w:type="spellStart"/>
      <w:r w:rsidRPr="00956D27">
        <w:rPr>
          <w:rFonts w:ascii="Raleway" w:hAnsi="Raleway" w:cs="Times New Roman"/>
          <w:color w:val="000000"/>
          <w:sz w:val="20"/>
          <w:szCs w:val="20"/>
          <w:lang w:val="es-ES_tradnl"/>
        </w:rPr>
        <w:t>Berzaín</w:t>
      </w:r>
      <w:proofErr w:type="spellEnd"/>
      <w:r w:rsidRPr="00956D27">
        <w:rPr>
          <w:rFonts w:ascii="Raleway" w:hAnsi="Raleway" w:cs="Times New Roman"/>
          <w:color w:val="000000"/>
          <w:sz w:val="20"/>
          <w:szCs w:val="20"/>
          <w:lang w:val="es-ES_tradnl"/>
        </w:rPr>
        <w:t xml:space="preserve"> habían dado órdenes para que se tratara al pueblo donde vivía Marlene, y a los civiles dentro del pueblo, como un objetivo militar.</w:t>
      </w:r>
    </w:p>
    <w:p w14:paraId="7F9442E7" w14:textId="77777777" w:rsidR="00956D27" w:rsidRDefault="00956D27" w:rsidP="00956D27">
      <w:pPr>
        <w:spacing w:after="200" w:line="276" w:lineRule="auto"/>
        <w:jc w:val="both"/>
        <w:rPr>
          <w:rFonts w:ascii="Raleway" w:hAnsi="Raleway" w:cs="Times New Roman"/>
          <w:color w:val="000000"/>
          <w:sz w:val="20"/>
          <w:szCs w:val="20"/>
          <w:lang w:val="es-ES_tradnl"/>
        </w:rPr>
      </w:pPr>
      <w:r w:rsidRPr="00956D27">
        <w:rPr>
          <w:rFonts w:ascii="Raleway" w:hAnsi="Raleway" w:cs="Times New Roman"/>
          <w:color w:val="000000"/>
          <w:sz w:val="20"/>
          <w:szCs w:val="20"/>
          <w:lang w:val="es-ES_tradnl"/>
        </w:rPr>
        <w:t xml:space="preserve">Los familiares de las víctimas están siendo representados por un equipo de abogados del Center </w:t>
      </w:r>
      <w:proofErr w:type="spellStart"/>
      <w:r w:rsidRPr="00956D27">
        <w:rPr>
          <w:rFonts w:ascii="Raleway" w:hAnsi="Raleway" w:cs="Times New Roman"/>
          <w:color w:val="000000"/>
          <w:sz w:val="20"/>
          <w:szCs w:val="20"/>
          <w:lang w:val="es-ES_tradnl"/>
        </w:rPr>
        <w:t>for</w:t>
      </w:r>
      <w:proofErr w:type="spellEnd"/>
      <w:r w:rsidRPr="00956D27">
        <w:rPr>
          <w:rFonts w:ascii="Raleway" w:hAnsi="Raleway" w:cs="Times New Roman"/>
          <w:color w:val="000000"/>
          <w:sz w:val="20"/>
          <w:szCs w:val="20"/>
          <w:lang w:val="es-ES_tradnl"/>
        </w:rPr>
        <w:t xml:space="preserve"> </w:t>
      </w:r>
      <w:proofErr w:type="spellStart"/>
      <w:r w:rsidRPr="00956D27">
        <w:rPr>
          <w:rFonts w:ascii="Raleway" w:hAnsi="Raleway" w:cs="Times New Roman"/>
          <w:color w:val="000000"/>
          <w:sz w:val="20"/>
          <w:szCs w:val="20"/>
          <w:lang w:val="es-ES_tradnl"/>
        </w:rPr>
        <w:t>Constitutional</w:t>
      </w:r>
      <w:proofErr w:type="spellEnd"/>
      <w:r w:rsidRPr="00956D27">
        <w:rPr>
          <w:rFonts w:ascii="Raleway" w:hAnsi="Raleway" w:cs="Times New Roman"/>
          <w:color w:val="000000"/>
          <w:sz w:val="20"/>
          <w:szCs w:val="20"/>
          <w:lang w:val="es-ES_tradnl"/>
        </w:rPr>
        <w:t xml:space="preserve"> Rights (Centro de Derechos Constitucionales), la clínica </w:t>
      </w:r>
      <w:r w:rsidRPr="00956D27">
        <w:rPr>
          <w:rFonts w:ascii="Raleway" w:hAnsi="Raleway" w:cs="Times New Roman"/>
          <w:color w:val="000000"/>
          <w:sz w:val="20"/>
          <w:szCs w:val="20"/>
          <w:lang w:val="es-ES_tradnl"/>
        </w:rPr>
        <w:lastRenderedPageBreak/>
        <w:t xml:space="preserve">internacional de derechos humanos de la Facultad de Derecho de Harvard, y el bufete de abogados de </w:t>
      </w:r>
      <w:proofErr w:type="spellStart"/>
      <w:r w:rsidRPr="00956D27">
        <w:rPr>
          <w:rFonts w:ascii="Raleway" w:hAnsi="Raleway" w:cs="Times New Roman"/>
          <w:color w:val="000000"/>
          <w:sz w:val="20"/>
          <w:szCs w:val="20"/>
          <w:lang w:val="es-ES_tradnl"/>
        </w:rPr>
        <w:t>Akin</w:t>
      </w:r>
      <w:proofErr w:type="spellEnd"/>
      <w:r w:rsidRPr="00956D27">
        <w:rPr>
          <w:rFonts w:ascii="Raleway" w:hAnsi="Raleway" w:cs="Times New Roman"/>
          <w:color w:val="000000"/>
          <w:sz w:val="20"/>
          <w:szCs w:val="20"/>
          <w:lang w:val="es-ES_tradnl"/>
        </w:rPr>
        <w:t xml:space="preserve">, </w:t>
      </w:r>
      <w:proofErr w:type="spellStart"/>
      <w:r w:rsidRPr="00956D27">
        <w:rPr>
          <w:rFonts w:ascii="Raleway" w:hAnsi="Raleway" w:cs="Times New Roman"/>
          <w:color w:val="000000"/>
          <w:sz w:val="20"/>
          <w:szCs w:val="20"/>
          <w:lang w:val="es-ES_tradnl"/>
        </w:rPr>
        <w:t>Gump</w:t>
      </w:r>
      <w:proofErr w:type="spellEnd"/>
      <w:r w:rsidRPr="00956D27">
        <w:rPr>
          <w:rFonts w:ascii="Raleway" w:hAnsi="Raleway" w:cs="Times New Roman"/>
          <w:color w:val="000000"/>
          <w:sz w:val="20"/>
          <w:szCs w:val="20"/>
          <w:lang w:val="es-ES_tradnl"/>
        </w:rPr>
        <w:t xml:space="preserve">, Strauss, </w:t>
      </w:r>
      <w:proofErr w:type="spellStart"/>
      <w:r w:rsidRPr="00956D27">
        <w:rPr>
          <w:rFonts w:ascii="Raleway" w:hAnsi="Raleway" w:cs="Times New Roman"/>
          <w:color w:val="000000"/>
          <w:sz w:val="20"/>
          <w:szCs w:val="20"/>
          <w:lang w:val="es-ES_tradnl"/>
        </w:rPr>
        <w:t>Hauer</w:t>
      </w:r>
      <w:proofErr w:type="spellEnd"/>
      <w:r w:rsidRPr="00956D27">
        <w:rPr>
          <w:rFonts w:ascii="Raleway" w:hAnsi="Raleway" w:cs="Times New Roman"/>
          <w:color w:val="000000"/>
          <w:sz w:val="20"/>
          <w:szCs w:val="20"/>
          <w:lang w:val="es-ES_tradnl"/>
        </w:rPr>
        <w:t xml:space="preserve"> &amp; </w:t>
      </w:r>
      <w:proofErr w:type="spellStart"/>
      <w:r w:rsidRPr="00956D27">
        <w:rPr>
          <w:rFonts w:ascii="Raleway" w:hAnsi="Raleway" w:cs="Times New Roman"/>
          <w:color w:val="000000"/>
          <w:sz w:val="20"/>
          <w:szCs w:val="20"/>
          <w:lang w:val="es-ES_tradnl"/>
        </w:rPr>
        <w:t>Feld</w:t>
      </w:r>
      <w:proofErr w:type="spellEnd"/>
      <w:r w:rsidRPr="00956D27">
        <w:rPr>
          <w:rFonts w:ascii="Raleway" w:hAnsi="Raleway" w:cs="Times New Roman"/>
          <w:color w:val="000000"/>
          <w:sz w:val="20"/>
          <w:szCs w:val="20"/>
          <w:lang w:val="es-ES_tradnl"/>
        </w:rPr>
        <w:t>, LLP. Abogados del Centro de Estudios de Derecho, Justicia y Sociedad (Dejusticia) colaboran en el caso.</w:t>
      </w:r>
    </w:p>
    <w:p w14:paraId="1BF0176A" w14:textId="77777777" w:rsidR="00956D27" w:rsidRDefault="00956D27" w:rsidP="00956D27">
      <w:pPr>
        <w:spacing w:after="200" w:line="276" w:lineRule="auto"/>
        <w:jc w:val="both"/>
        <w:rPr>
          <w:rFonts w:ascii="Times" w:hAnsi="Times" w:cs="Times New Roman"/>
          <w:sz w:val="20"/>
          <w:szCs w:val="20"/>
          <w:lang w:val="es-ES_tradnl"/>
        </w:rPr>
      </w:pPr>
    </w:p>
    <w:p w14:paraId="617EB2B9" w14:textId="77777777" w:rsidR="00581D0E" w:rsidRDefault="00581D0E" w:rsidP="00956D27">
      <w:pPr>
        <w:spacing w:after="200" w:line="276" w:lineRule="auto"/>
        <w:jc w:val="both"/>
        <w:rPr>
          <w:rFonts w:ascii="Times" w:hAnsi="Times" w:cs="Times New Roman"/>
          <w:sz w:val="20"/>
          <w:szCs w:val="20"/>
          <w:lang w:val="es-ES_tradnl"/>
        </w:rPr>
      </w:pPr>
    </w:p>
    <w:p w14:paraId="375D9500" w14:textId="77777777" w:rsidR="00581D0E" w:rsidRDefault="00581D0E" w:rsidP="00956D27">
      <w:pPr>
        <w:spacing w:after="200" w:line="276" w:lineRule="auto"/>
        <w:jc w:val="both"/>
        <w:rPr>
          <w:rFonts w:ascii="Raleway" w:hAnsi="Raleway" w:cs="Times New Roman"/>
          <w:sz w:val="18"/>
          <w:szCs w:val="18"/>
          <w:lang w:val="es-ES_tradnl"/>
        </w:rPr>
      </w:pPr>
    </w:p>
    <w:p w14:paraId="66D405D7" w14:textId="77777777" w:rsidR="00581D0E" w:rsidRPr="00956D27" w:rsidRDefault="00581D0E" w:rsidP="00956D27">
      <w:pPr>
        <w:spacing w:after="200" w:line="276" w:lineRule="auto"/>
        <w:jc w:val="both"/>
        <w:rPr>
          <w:rFonts w:ascii="Raleway" w:hAnsi="Raleway" w:cs="Times New Roman"/>
          <w:b/>
          <w:sz w:val="18"/>
          <w:szCs w:val="18"/>
          <w:lang w:val="es-ES_tradnl"/>
        </w:rPr>
      </w:pPr>
    </w:p>
    <w:p w14:paraId="75D79665" w14:textId="77777777" w:rsidR="00956D27" w:rsidRPr="00956D27" w:rsidRDefault="00956D27" w:rsidP="00956D27">
      <w:pPr>
        <w:spacing w:after="200" w:line="276" w:lineRule="auto"/>
        <w:jc w:val="center"/>
        <w:rPr>
          <w:rFonts w:ascii="Times" w:hAnsi="Times" w:cs="Times New Roman"/>
          <w:sz w:val="20"/>
          <w:szCs w:val="20"/>
          <w:lang w:val="es-ES_tradnl"/>
        </w:rPr>
      </w:pPr>
      <w:r w:rsidRPr="00956D27">
        <w:rPr>
          <w:rFonts w:ascii="Raleway" w:hAnsi="Raleway" w:cs="Times New Roman"/>
          <w:color w:val="000000"/>
          <w:sz w:val="20"/>
          <w:szCs w:val="20"/>
          <w:lang w:val="es-ES_tradnl"/>
        </w:rPr>
        <w:t>-30-</w:t>
      </w:r>
    </w:p>
    <w:p w14:paraId="6AB191E8" w14:textId="77777777" w:rsidR="00956D27" w:rsidRPr="00956D27" w:rsidRDefault="00956D27" w:rsidP="00956D27">
      <w:pPr>
        <w:rPr>
          <w:rFonts w:ascii="Times" w:eastAsia="Times New Roman" w:hAnsi="Times" w:cs="Times New Roman"/>
          <w:sz w:val="20"/>
          <w:szCs w:val="20"/>
          <w:lang w:val="es-ES_tradnl"/>
        </w:rPr>
      </w:pPr>
    </w:p>
    <w:p w14:paraId="7531FEBA" w14:textId="75EAA9B3" w:rsidR="00E36BED" w:rsidRPr="00956D27" w:rsidRDefault="00E36BED" w:rsidP="00956D27">
      <w:pPr>
        <w:widowControl w:val="0"/>
        <w:autoSpaceDE w:val="0"/>
        <w:autoSpaceDN w:val="0"/>
        <w:adjustRightInd w:val="0"/>
        <w:rPr>
          <w:lang w:val="es-ES_tradnl"/>
        </w:rPr>
      </w:pPr>
    </w:p>
    <w:sectPr w:rsidR="00E36BED" w:rsidRPr="00956D27" w:rsidSect="006C554C">
      <w:headerReference w:type="default" r:id="rId13"/>
      <w:footerReference w:type="default" r:id="rId14"/>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63974" w14:textId="77777777" w:rsidR="002E6E94" w:rsidRDefault="002E6E94" w:rsidP="002107FE">
      <w:r>
        <w:separator/>
      </w:r>
    </w:p>
  </w:endnote>
  <w:endnote w:type="continuationSeparator" w:id="0">
    <w:p w14:paraId="2C148D7A" w14:textId="77777777" w:rsidR="002E6E94" w:rsidRDefault="002E6E94" w:rsidP="002107FE">
      <w:r>
        <w:continuationSeparator/>
      </w:r>
    </w:p>
  </w:endnote>
  <w:endnote w:type="continuationNotice" w:id="1">
    <w:p w14:paraId="0B1DD9F2" w14:textId="77777777" w:rsidR="002E6E94" w:rsidRDefault="002E6E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aleway">
    <w:altName w:val="Segoe Script"/>
    <w:charset w:val="00"/>
    <w:family w:val="auto"/>
    <w:pitch w:val="variable"/>
    <w:sig w:usb0="00000001" w:usb1="5000005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7F43C" w14:textId="77777777" w:rsidR="00581D0E" w:rsidRDefault="00581D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C14D5" w14:textId="77777777" w:rsidR="002E6E94" w:rsidRDefault="002E6E94" w:rsidP="002107FE">
      <w:r>
        <w:separator/>
      </w:r>
    </w:p>
  </w:footnote>
  <w:footnote w:type="continuationSeparator" w:id="0">
    <w:p w14:paraId="3797AE03" w14:textId="77777777" w:rsidR="002E6E94" w:rsidRDefault="002E6E94" w:rsidP="002107FE">
      <w:r>
        <w:continuationSeparator/>
      </w:r>
    </w:p>
  </w:footnote>
  <w:footnote w:type="continuationNotice" w:id="1">
    <w:p w14:paraId="5CB24C6F" w14:textId="77777777" w:rsidR="002E6E94" w:rsidRDefault="002E6E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C2FA6" w14:textId="77777777" w:rsidR="00581D0E" w:rsidRDefault="00581D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7DE"/>
    <w:rsid w:val="00003E78"/>
    <w:rsid w:val="0000708D"/>
    <w:rsid w:val="00052E43"/>
    <w:rsid w:val="00086537"/>
    <w:rsid w:val="000A4993"/>
    <w:rsid w:val="000B4A22"/>
    <w:rsid w:val="0010218D"/>
    <w:rsid w:val="00140A45"/>
    <w:rsid w:val="00150392"/>
    <w:rsid w:val="001572E4"/>
    <w:rsid w:val="00170686"/>
    <w:rsid w:val="001A1D51"/>
    <w:rsid w:val="002107FE"/>
    <w:rsid w:val="0023463E"/>
    <w:rsid w:val="00260EAD"/>
    <w:rsid w:val="00261A05"/>
    <w:rsid w:val="00266ED7"/>
    <w:rsid w:val="002B38BB"/>
    <w:rsid w:val="002E2D99"/>
    <w:rsid w:val="002E6E94"/>
    <w:rsid w:val="002F6265"/>
    <w:rsid w:val="00347664"/>
    <w:rsid w:val="00391188"/>
    <w:rsid w:val="003A377C"/>
    <w:rsid w:val="003A4638"/>
    <w:rsid w:val="003C7CE7"/>
    <w:rsid w:val="003E4CD0"/>
    <w:rsid w:val="003F625F"/>
    <w:rsid w:val="00401ABB"/>
    <w:rsid w:val="0042731D"/>
    <w:rsid w:val="004463E2"/>
    <w:rsid w:val="004539E5"/>
    <w:rsid w:val="00482BDF"/>
    <w:rsid w:val="00483678"/>
    <w:rsid w:val="004B5899"/>
    <w:rsid w:val="004B6E5B"/>
    <w:rsid w:val="00581D0E"/>
    <w:rsid w:val="0060699C"/>
    <w:rsid w:val="00633637"/>
    <w:rsid w:val="00677EC9"/>
    <w:rsid w:val="006914AB"/>
    <w:rsid w:val="006924E1"/>
    <w:rsid w:val="006B5947"/>
    <w:rsid w:val="006C554C"/>
    <w:rsid w:val="006D0B12"/>
    <w:rsid w:val="006F3069"/>
    <w:rsid w:val="006F561F"/>
    <w:rsid w:val="00714F70"/>
    <w:rsid w:val="00750699"/>
    <w:rsid w:val="00762387"/>
    <w:rsid w:val="00766C36"/>
    <w:rsid w:val="00772096"/>
    <w:rsid w:val="0079085A"/>
    <w:rsid w:val="00790B7F"/>
    <w:rsid w:val="007946CD"/>
    <w:rsid w:val="00795199"/>
    <w:rsid w:val="007D1F9C"/>
    <w:rsid w:val="007E6520"/>
    <w:rsid w:val="007F0373"/>
    <w:rsid w:val="00824E03"/>
    <w:rsid w:val="008567BB"/>
    <w:rsid w:val="0089309A"/>
    <w:rsid w:val="008D1294"/>
    <w:rsid w:val="008E768D"/>
    <w:rsid w:val="009213C2"/>
    <w:rsid w:val="009226D9"/>
    <w:rsid w:val="00956D27"/>
    <w:rsid w:val="00974B81"/>
    <w:rsid w:val="00980A40"/>
    <w:rsid w:val="009B50A3"/>
    <w:rsid w:val="009F47DE"/>
    <w:rsid w:val="00A111B8"/>
    <w:rsid w:val="00A156A0"/>
    <w:rsid w:val="00A63A38"/>
    <w:rsid w:val="00B12D95"/>
    <w:rsid w:val="00B506C9"/>
    <w:rsid w:val="00B96D2E"/>
    <w:rsid w:val="00BC5A4E"/>
    <w:rsid w:val="00C57373"/>
    <w:rsid w:val="00C92003"/>
    <w:rsid w:val="00CB4233"/>
    <w:rsid w:val="00CD7286"/>
    <w:rsid w:val="00CF40F3"/>
    <w:rsid w:val="00D20203"/>
    <w:rsid w:val="00D93403"/>
    <w:rsid w:val="00DA62EA"/>
    <w:rsid w:val="00DC2B07"/>
    <w:rsid w:val="00DD24EC"/>
    <w:rsid w:val="00DE314B"/>
    <w:rsid w:val="00E03110"/>
    <w:rsid w:val="00E27BB9"/>
    <w:rsid w:val="00E36BED"/>
    <w:rsid w:val="00E40402"/>
    <w:rsid w:val="00E90221"/>
    <w:rsid w:val="00EA4B7D"/>
    <w:rsid w:val="00EB7897"/>
    <w:rsid w:val="00EE3084"/>
    <w:rsid w:val="00EF017C"/>
    <w:rsid w:val="00F0032C"/>
    <w:rsid w:val="00F52002"/>
    <w:rsid w:val="00F520F6"/>
    <w:rsid w:val="00F83EA4"/>
    <w:rsid w:val="00F91BDF"/>
    <w:rsid w:val="00F966D0"/>
    <w:rsid w:val="00FE62F7"/>
    <w:rsid w:val="00FF536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2B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01ABB"/>
    <w:rPr>
      <w:rFonts w:ascii="Lucida Grande" w:hAnsi="Lucida Grande" w:cs="Lucida Grande"/>
      <w:sz w:val="18"/>
      <w:szCs w:val="18"/>
    </w:rPr>
  </w:style>
  <w:style w:type="character" w:customStyle="1" w:styleId="BalloonTextChar">
    <w:name w:val="Balloon Text Char"/>
    <w:basedOn w:val="DefaultParagraphFont"/>
    <w:uiPriority w:val="99"/>
    <w:semiHidden/>
    <w:rsid w:val="004F490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01ABB"/>
    <w:rPr>
      <w:rFonts w:ascii="Lucida Grande" w:hAnsi="Lucida Grande" w:cs="Lucida Grande"/>
      <w:sz w:val="18"/>
      <w:szCs w:val="18"/>
    </w:rPr>
  </w:style>
  <w:style w:type="character" w:styleId="CommentReference">
    <w:name w:val="annotation reference"/>
    <w:basedOn w:val="DefaultParagraphFont"/>
    <w:uiPriority w:val="99"/>
    <w:semiHidden/>
    <w:unhideWhenUsed/>
    <w:rsid w:val="00401ABB"/>
    <w:rPr>
      <w:sz w:val="18"/>
      <w:szCs w:val="18"/>
    </w:rPr>
  </w:style>
  <w:style w:type="paragraph" w:styleId="CommentText">
    <w:name w:val="annotation text"/>
    <w:basedOn w:val="Normal"/>
    <w:link w:val="CommentTextChar"/>
    <w:uiPriority w:val="99"/>
    <w:semiHidden/>
    <w:unhideWhenUsed/>
    <w:rsid w:val="00401ABB"/>
  </w:style>
  <w:style w:type="character" w:customStyle="1" w:styleId="CommentTextChar">
    <w:name w:val="Comment Text Char"/>
    <w:basedOn w:val="DefaultParagraphFont"/>
    <w:link w:val="CommentText"/>
    <w:uiPriority w:val="99"/>
    <w:semiHidden/>
    <w:rsid w:val="00401ABB"/>
  </w:style>
  <w:style w:type="paragraph" w:styleId="CommentSubject">
    <w:name w:val="annotation subject"/>
    <w:basedOn w:val="CommentText"/>
    <w:next w:val="CommentText"/>
    <w:link w:val="CommentSubjectChar"/>
    <w:uiPriority w:val="99"/>
    <w:semiHidden/>
    <w:unhideWhenUsed/>
    <w:rsid w:val="00401ABB"/>
    <w:rPr>
      <w:b/>
      <w:bCs/>
      <w:sz w:val="20"/>
      <w:szCs w:val="20"/>
    </w:rPr>
  </w:style>
  <w:style w:type="character" w:customStyle="1" w:styleId="CommentSubjectChar">
    <w:name w:val="Comment Subject Char"/>
    <w:basedOn w:val="CommentTextChar"/>
    <w:link w:val="CommentSubject"/>
    <w:uiPriority w:val="99"/>
    <w:semiHidden/>
    <w:rsid w:val="00401ABB"/>
    <w:rPr>
      <w:b/>
      <w:bCs/>
      <w:sz w:val="20"/>
      <w:szCs w:val="20"/>
    </w:rPr>
  </w:style>
  <w:style w:type="paragraph" w:styleId="Header">
    <w:name w:val="header"/>
    <w:basedOn w:val="Normal"/>
    <w:link w:val="HeaderChar"/>
    <w:uiPriority w:val="99"/>
    <w:unhideWhenUsed/>
    <w:rsid w:val="002107FE"/>
    <w:pPr>
      <w:tabs>
        <w:tab w:val="center" w:pos="4320"/>
        <w:tab w:val="right" w:pos="8640"/>
      </w:tabs>
    </w:pPr>
  </w:style>
  <w:style w:type="character" w:customStyle="1" w:styleId="HeaderChar">
    <w:name w:val="Header Char"/>
    <w:basedOn w:val="DefaultParagraphFont"/>
    <w:link w:val="Header"/>
    <w:uiPriority w:val="99"/>
    <w:rsid w:val="002107FE"/>
  </w:style>
  <w:style w:type="paragraph" w:styleId="Footer">
    <w:name w:val="footer"/>
    <w:basedOn w:val="Normal"/>
    <w:link w:val="FooterChar"/>
    <w:uiPriority w:val="99"/>
    <w:unhideWhenUsed/>
    <w:rsid w:val="002107FE"/>
    <w:pPr>
      <w:tabs>
        <w:tab w:val="center" w:pos="4320"/>
        <w:tab w:val="right" w:pos="8640"/>
      </w:tabs>
    </w:pPr>
  </w:style>
  <w:style w:type="character" w:customStyle="1" w:styleId="FooterChar">
    <w:name w:val="Footer Char"/>
    <w:basedOn w:val="DefaultParagraphFont"/>
    <w:link w:val="Footer"/>
    <w:uiPriority w:val="99"/>
    <w:rsid w:val="002107FE"/>
  </w:style>
  <w:style w:type="paragraph" w:styleId="Revision">
    <w:name w:val="Revision"/>
    <w:hidden/>
    <w:uiPriority w:val="99"/>
    <w:semiHidden/>
    <w:rsid w:val="002107FE"/>
  </w:style>
  <w:style w:type="paragraph" w:styleId="ListParagraph">
    <w:name w:val="List Paragraph"/>
    <w:basedOn w:val="Normal"/>
    <w:uiPriority w:val="34"/>
    <w:qFormat/>
    <w:rsid w:val="008567BB"/>
    <w:pPr>
      <w:ind w:left="720"/>
      <w:contextualSpacing/>
    </w:pPr>
  </w:style>
  <w:style w:type="paragraph" w:styleId="NormalWeb">
    <w:name w:val="Normal (Web)"/>
    <w:basedOn w:val="Normal"/>
    <w:uiPriority w:val="99"/>
    <w:semiHidden/>
    <w:unhideWhenUsed/>
    <w:rsid w:val="00956D2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81D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01ABB"/>
    <w:rPr>
      <w:rFonts w:ascii="Lucida Grande" w:hAnsi="Lucida Grande" w:cs="Lucida Grande"/>
      <w:sz w:val="18"/>
      <w:szCs w:val="18"/>
    </w:rPr>
  </w:style>
  <w:style w:type="character" w:customStyle="1" w:styleId="BalloonTextChar">
    <w:name w:val="Balloon Text Char"/>
    <w:basedOn w:val="DefaultParagraphFont"/>
    <w:uiPriority w:val="99"/>
    <w:semiHidden/>
    <w:rsid w:val="004F490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01ABB"/>
    <w:rPr>
      <w:rFonts w:ascii="Lucida Grande" w:hAnsi="Lucida Grande" w:cs="Lucida Grande"/>
      <w:sz w:val="18"/>
      <w:szCs w:val="18"/>
    </w:rPr>
  </w:style>
  <w:style w:type="character" w:styleId="CommentReference">
    <w:name w:val="annotation reference"/>
    <w:basedOn w:val="DefaultParagraphFont"/>
    <w:uiPriority w:val="99"/>
    <w:semiHidden/>
    <w:unhideWhenUsed/>
    <w:rsid w:val="00401ABB"/>
    <w:rPr>
      <w:sz w:val="18"/>
      <w:szCs w:val="18"/>
    </w:rPr>
  </w:style>
  <w:style w:type="paragraph" w:styleId="CommentText">
    <w:name w:val="annotation text"/>
    <w:basedOn w:val="Normal"/>
    <w:link w:val="CommentTextChar"/>
    <w:uiPriority w:val="99"/>
    <w:semiHidden/>
    <w:unhideWhenUsed/>
    <w:rsid w:val="00401ABB"/>
  </w:style>
  <w:style w:type="character" w:customStyle="1" w:styleId="CommentTextChar">
    <w:name w:val="Comment Text Char"/>
    <w:basedOn w:val="DefaultParagraphFont"/>
    <w:link w:val="CommentText"/>
    <w:uiPriority w:val="99"/>
    <w:semiHidden/>
    <w:rsid w:val="00401ABB"/>
  </w:style>
  <w:style w:type="paragraph" w:styleId="CommentSubject">
    <w:name w:val="annotation subject"/>
    <w:basedOn w:val="CommentText"/>
    <w:next w:val="CommentText"/>
    <w:link w:val="CommentSubjectChar"/>
    <w:uiPriority w:val="99"/>
    <w:semiHidden/>
    <w:unhideWhenUsed/>
    <w:rsid w:val="00401ABB"/>
    <w:rPr>
      <w:b/>
      <w:bCs/>
      <w:sz w:val="20"/>
      <w:szCs w:val="20"/>
    </w:rPr>
  </w:style>
  <w:style w:type="character" w:customStyle="1" w:styleId="CommentSubjectChar">
    <w:name w:val="Comment Subject Char"/>
    <w:basedOn w:val="CommentTextChar"/>
    <w:link w:val="CommentSubject"/>
    <w:uiPriority w:val="99"/>
    <w:semiHidden/>
    <w:rsid w:val="00401ABB"/>
    <w:rPr>
      <w:b/>
      <w:bCs/>
      <w:sz w:val="20"/>
      <w:szCs w:val="20"/>
    </w:rPr>
  </w:style>
  <w:style w:type="paragraph" w:styleId="Header">
    <w:name w:val="header"/>
    <w:basedOn w:val="Normal"/>
    <w:link w:val="HeaderChar"/>
    <w:uiPriority w:val="99"/>
    <w:unhideWhenUsed/>
    <w:rsid w:val="002107FE"/>
    <w:pPr>
      <w:tabs>
        <w:tab w:val="center" w:pos="4320"/>
        <w:tab w:val="right" w:pos="8640"/>
      </w:tabs>
    </w:pPr>
  </w:style>
  <w:style w:type="character" w:customStyle="1" w:styleId="HeaderChar">
    <w:name w:val="Header Char"/>
    <w:basedOn w:val="DefaultParagraphFont"/>
    <w:link w:val="Header"/>
    <w:uiPriority w:val="99"/>
    <w:rsid w:val="002107FE"/>
  </w:style>
  <w:style w:type="paragraph" w:styleId="Footer">
    <w:name w:val="footer"/>
    <w:basedOn w:val="Normal"/>
    <w:link w:val="FooterChar"/>
    <w:uiPriority w:val="99"/>
    <w:unhideWhenUsed/>
    <w:rsid w:val="002107FE"/>
    <w:pPr>
      <w:tabs>
        <w:tab w:val="center" w:pos="4320"/>
        <w:tab w:val="right" w:pos="8640"/>
      </w:tabs>
    </w:pPr>
  </w:style>
  <w:style w:type="character" w:customStyle="1" w:styleId="FooterChar">
    <w:name w:val="Footer Char"/>
    <w:basedOn w:val="DefaultParagraphFont"/>
    <w:link w:val="Footer"/>
    <w:uiPriority w:val="99"/>
    <w:rsid w:val="002107FE"/>
  </w:style>
  <w:style w:type="paragraph" w:styleId="Revision">
    <w:name w:val="Revision"/>
    <w:hidden/>
    <w:uiPriority w:val="99"/>
    <w:semiHidden/>
    <w:rsid w:val="002107FE"/>
  </w:style>
  <w:style w:type="paragraph" w:styleId="ListParagraph">
    <w:name w:val="List Paragraph"/>
    <w:basedOn w:val="Normal"/>
    <w:uiPriority w:val="34"/>
    <w:qFormat/>
    <w:rsid w:val="008567BB"/>
    <w:pPr>
      <w:ind w:left="720"/>
      <w:contextualSpacing/>
    </w:pPr>
  </w:style>
  <w:style w:type="paragraph" w:styleId="NormalWeb">
    <w:name w:val="Normal (Web)"/>
    <w:basedOn w:val="Normal"/>
    <w:uiPriority w:val="99"/>
    <w:semiHidden/>
    <w:unhideWhenUsed/>
    <w:rsid w:val="00956D2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81D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772405">
      <w:bodyDiv w:val="1"/>
      <w:marLeft w:val="0"/>
      <w:marRight w:val="0"/>
      <w:marTop w:val="0"/>
      <w:marBottom w:val="0"/>
      <w:divBdr>
        <w:top w:val="none" w:sz="0" w:space="0" w:color="auto"/>
        <w:left w:val="none" w:sz="0" w:space="0" w:color="auto"/>
        <w:bottom w:val="none" w:sz="0" w:space="0" w:color="auto"/>
        <w:right w:val="none" w:sz="0" w:space="0" w:color="auto"/>
      </w:divBdr>
    </w:div>
    <w:div w:id="1780948332">
      <w:bodyDiv w:val="1"/>
      <w:marLeft w:val="0"/>
      <w:marRight w:val="0"/>
      <w:marTop w:val="0"/>
      <w:marBottom w:val="0"/>
      <w:divBdr>
        <w:top w:val="none" w:sz="0" w:space="0" w:color="auto"/>
        <w:left w:val="none" w:sz="0" w:space="0" w:color="auto"/>
        <w:bottom w:val="none" w:sz="0" w:space="0" w:color="auto"/>
        <w:right w:val="none" w:sz="0" w:space="0" w:color="auto"/>
      </w:divBdr>
    </w:div>
    <w:div w:id="2062051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95A22-2BC1-4B8F-9E94-DDF048217C8B}">
  <ds:schemaRefs>
    <ds:schemaRef ds:uri="http://schemas.openxmlformats.org/officeDocument/2006/bibliography"/>
  </ds:schemaRefs>
</ds:datastoreItem>
</file>

<file path=customXml/itemProps2.xml><?xml version="1.0" encoding="utf-8"?>
<ds:datastoreItem xmlns:ds="http://schemas.openxmlformats.org/officeDocument/2006/customXml" ds:itemID="{E7F4F846-8062-4EAF-807B-0C857F41F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Stanford Law School</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Long</dc:creator>
  <cp:lastModifiedBy>csolomon</cp:lastModifiedBy>
  <cp:revision>2</cp:revision>
  <cp:lastPrinted>2016-06-17T03:20:00Z</cp:lastPrinted>
  <dcterms:created xsi:type="dcterms:W3CDTF">2016-06-17T20:28:00Z</dcterms:created>
  <dcterms:modified xsi:type="dcterms:W3CDTF">2016-06-17T20:28:00Z</dcterms:modified>
</cp:coreProperties>
</file>